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16E" w:rsidRDefault="00954509">
      <w:pPr>
        <w:pStyle w:val="af6"/>
        <w:tabs>
          <w:tab w:val="clear" w:pos="4536"/>
          <w:tab w:val="clear" w:pos="9072"/>
          <w:tab w:val="right" w:pos="9282"/>
          <w:tab w:val="right" w:pos="9492"/>
        </w:tabs>
        <w:spacing w:beforeLines="0" w:before="0" w:afterLines="0" w:after="0"/>
        <w:rPr>
          <w:rFonts w:eastAsia="宋体" w:cs="Arial"/>
          <w:sz w:val="22"/>
          <w:szCs w:val="22"/>
          <w:lang w:eastAsia="zh-CN"/>
        </w:rPr>
      </w:pPr>
      <w:r>
        <w:rPr>
          <w:rFonts w:cs="Arial"/>
          <w:sz w:val="22"/>
          <w:szCs w:val="22"/>
        </w:rPr>
        <w:t>3GPP TSG RAN WG1 Meeting #1</w:t>
      </w:r>
      <w:r>
        <w:rPr>
          <w:rFonts w:eastAsia="宋体" w:cs="Arial"/>
          <w:sz w:val="22"/>
          <w:szCs w:val="22"/>
          <w:lang w:eastAsia="zh-CN"/>
        </w:rPr>
        <w:t>18</w:t>
      </w:r>
      <w:r>
        <w:rPr>
          <w:rFonts w:eastAsia="宋体" w:cs="Arial"/>
          <w:sz w:val="22"/>
          <w:szCs w:val="22"/>
          <w:lang w:eastAsia="zh-CN"/>
        </w:rPr>
        <w:tab/>
      </w:r>
      <w:r>
        <w:rPr>
          <w:rFonts w:cs="Arial"/>
          <w:sz w:val="22"/>
          <w:szCs w:val="22"/>
          <w:lang w:eastAsia="ja-JP"/>
        </w:rPr>
        <w:t>R1-</w:t>
      </w:r>
      <w:r>
        <w:rPr>
          <w:rFonts w:eastAsia="宋体" w:cs="Arial"/>
          <w:sz w:val="22"/>
          <w:szCs w:val="22"/>
          <w:lang w:eastAsia="zh-CN"/>
        </w:rPr>
        <w:t>2406031</w:t>
      </w:r>
    </w:p>
    <w:p w:rsidR="0055216E" w:rsidRDefault="00954509">
      <w:pPr>
        <w:adjustRightInd w:val="0"/>
        <w:spacing w:beforeAutospacing="0" w:after="180"/>
        <w:rPr>
          <w:rFonts w:ascii="Arial" w:eastAsia="宋体" w:hAnsi="Arial" w:cs="Arial"/>
          <w:b/>
          <w:sz w:val="22"/>
        </w:rPr>
      </w:pPr>
      <w:r>
        <w:rPr>
          <w:rFonts w:ascii="Arial" w:eastAsia="宋体" w:hAnsi="Arial" w:cs="Arial"/>
          <w:b/>
          <w:sz w:val="22"/>
        </w:rPr>
        <w:t>Maastricht, NL, August 19</w:t>
      </w:r>
      <w:r>
        <w:rPr>
          <w:rFonts w:ascii="Arial" w:eastAsia="宋体" w:hAnsi="Arial" w:cs="Arial"/>
          <w:b/>
          <w:sz w:val="22"/>
          <w:vertAlign w:val="superscript"/>
        </w:rPr>
        <w:t>th</w:t>
      </w:r>
      <w:r>
        <w:rPr>
          <w:rFonts w:ascii="Arial" w:eastAsia="MS Mincho" w:hAnsi="Arial" w:cs="Arial"/>
          <w:b/>
          <w:sz w:val="22"/>
          <w:lang w:eastAsia="ja-JP"/>
        </w:rPr>
        <w:t xml:space="preserve"> –</w:t>
      </w:r>
      <w:r>
        <w:rPr>
          <w:rFonts w:ascii="Arial" w:eastAsia="MS Mincho" w:hAnsi="Arial" w:cs="Arial"/>
          <w:b/>
          <w:sz w:val="22"/>
          <w:lang w:eastAsia="en-US"/>
        </w:rPr>
        <w:t xml:space="preserve"> 23</w:t>
      </w:r>
      <w:r>
        <w:rPr>
          <w:rFonts w:ascii="Arial" w:eastAsia="宋体" w:hAnsi="Arial" w:cs="Arial"/>
          <w:b/>
          <w:sz w:val="22"/>
          <w:vertAlign w:val="superscript"/>
        </w:rPr>
        <w:t>rd</w:t>
      </w:r>
      <w:r>
        <w:rPr>
          <w:rFonts w:ascii="Arial" w:eastAsia="MS Mincho" w:hAnsi="Arial" w:cs="Arial"/>
          <w:b/>
          <w:sz w:val="22"/>
          <w:lang w:eastAsia="ja-JP"/>
        </w:rPr>
        <w:t>, 20</w:t>
      </w:r>
      <w:r>
        <w:rPr>
          <w:rFonts w:ascii="Arial" w:eastAsia="宋体" w:hAnsi="Arial" w:cs="Arial"/>
          <w:b/>
          <w:sz w:val="22"/>
        </w:rPr>
        <w:t>24</w:t>
      </w:r>
    </w:p>
    <w:p w:rsidR="0055216E" w:rsidRDefault="0055216E">
      <w:pPr>
        <w:pStyle w:val="af6"/>
        <w:tabs>
          <w:tab w:val="clear" w:pos="4536"/>
          <w:tab w:val="left" w:pos="1805"/>
        </w:tabs>
        <w:spacing w:beforeLines="0" w:before="0" w:afterLines="0" w:after="0"/>
        <w:ind w:left="1803" w:hanging="1803"/>
        <w:rPr>
          <w:rFonts w:cs="Arial"/>
          <w:sz w:val="22"/>
          <w:szCs w:val="22"/>
          <w:lang w:eastAsia="zh-CN"/>
        </w:rPr>
      </w:pPr>
    </w:p>
    <w:p w:rsidR="0055216E" w:rsidRDefault="00954509">
      <w:pPr>
        <w:pStyle w:val="af6"/>
        <w:tabs>
          <w:tab w:val="clear" w:pos="4536"/>
          <w:tab w:val="left" w:pos="1805"/>
        </w:tabs>
        <w:spacing w:beforeLines="0" w:before="0" w:afterLines="0" w:after="0"/>
        <w:ind w:left="1803" w:hanging="1803"/>
        <w:jc w:val="left"/>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 Corporation, Sanechips, China Telecom</w:t>
      </w:r>
    </w:p>
    <w:p w:rsidR="0055216E" w:rsidRDefault="00954509">
      <w:pPr>
        <w:pStyle w:val="af6"/>
        <w:tabs>
          <w:tab w:val="left" w:pos="1800"/>
        </w:tabs>
        <w:spacing w:beforeLines="0" w:before="0" w:afterLines="0" w:after="0"/>
        <w:ind w:left="1840" w:hangingChars="833" w:hanging="1840"/>
        <w:jc w:val="left"/>
        <w:rPr>
          <w:rFonts w:eastAsia="宋体" w:cs="Arial"/>
          <w:sz w:val="22"/>
          <w:szCs w:val="22"/>
          <w:lang w:eastAsia="zh-CN"/>
        </w:rPr>
      </w:pPr>
      <w:r>
        <w:rPr>
          <w:rFonts w:cs="Arial"/>
          <w:sz w:val="22"/>
          <w:szCs w:val="22"/>
          <w:lang w:eastAsia="zh-CN"/>
        </w:rPr>
        <w:t>Title:</w:t>
      </w:r>
      <w:r>
        <w:rPr>
          <w:rFonts w:cs="Arial" w:hint="eastAsia"/>
          <w:sz w:val="22"/>
          <w:szCs w:val="22"/>
          <w:lang w:eastAsia="zh-CN"/>
        </w:rPr>
        <w:tab/>
      </w:r>
      <w:r>
        <w:rPr>
          <w:rFonts w:cs="Arial" w:hint="eastAsia"/>
          <w:sz w:val="22"/>
          <w:szCs w:val="22"/>
          <w:lang w:eastAsia="zh-CN"/>
        </w:rPr>
        <w:tab/>
      </w:r>
      <w:r>
        <w:rPr>
          <w:rFonts w:eastAsia="宋体" w:cs="Arial"/>
          <w:bCs/>
          <w:sz w:val="22"/>
          <w:szCs w:val="22"/>
          <w:lang w:eastAsia="zh-CN"/>
        </w:rPr>
        <w:t>Discussion on e</w:t>
      </w:r>
      <w:r>
        <w:rPr>
          <w:rFonts w:eastAsia="宋体" w:cs="Arial"/>
          <w:sz w:val="22"/>
          <w:szCs w:val="22"/>
        </w:rPr>
        <w:t>nhancement</w:t>
      </w:r>
      <w:r>
        <w:rPr>
          <w:rFonts w:eastAsia="宋体" w:cs="Arial"/>
          <w:sz w:val="22"/>
          <w:szCs w:val="22"/>
          <w:lang w:eastAsia="zh-CN"/>
        </w:rPr>
        <w:t>s</w:t>
      </w:r>
      <w:r>
        <w:rPr>
          <w:rFonts w:eastAsia="宋体" w:cs="Arial"/>
          <w:sz w:val="22"/>
          <w:szCs w:val="22"/>
        </w:rPr>
        <w:t xml:space="preserve"> </w:t>
      </w:r>
      <w:r>
        <w:rPr>
          <w:rFonts w:eastAsia="宋体" w:cs="Arial"/>
          <w:sz w:val="22"/>
          <w:szCs w:val="22"/>
          <w:lang w:eastAsia="zh-CN"/>
        </w:rPr>
        <w:t xml:space="preserve">for </w:t>
      </w:r>
      <w:r>
        <w:rPr>
          <w:rFonts w:eastAsia="宋体" w:cs="Arial"/>
          <w:sz w:val="22"/>
          <w:szCs w:val="22"/>
        </w:rPr>
        <w:t>asymmetric DL sTRP</w:t>
      </w:r>
      <w:r>
        <w:rPr>
          <w:rFonts w:eastAsia="宋体" w:cs="Arial"/>
          <w:sz w:val="22"/>
          <w:szCs w:val="22"/>
          <w:lang w:eastAsia="zh-CN"/>
        </w:rPr>
        <w:t>/</w:t>
      </w:r>
      <w:r>
        <w:rPr>
          <w:rFonts w:eastAsia="宋体" w:cs="Arial"/>
          <w:sz w:val="22"/>
          <w:szCs w:val="22"/>
        </w:rPr>
        <w:t>UL mTRP scenarios</w:t>
      </w:r>
    </w:p>
    <w:p w:rsidR="0055216E" w:rsidRDefault="00954509">
      <w:pPr>
        <w:pStyle w:val="af6"/>
        <w:tabs>
          <w:tab w:val="left" w:pos="1800"/>
        </w:tabs>
        <w:spacing w:beforeLines="0" w:before="0" w:afterLines="0" w:after="0"/>
        <w:jc w:val="left"/>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t>9.2.4</w:t>
      </w:r>
    </w:p>
    <w:p w:rsidR="0055216E" w:rsidRDefault="00954509">
      <w:pPr>
        <w:pBdr>
          <w:bottom w:val="single" w:sz="6" w:space="1" w:color="auto"/>
        </w:pBdr>
        <w:adjustRightInd w:val="0"/>
        <w:spacing w:beforeAutospacing="0" w:afterLines="0" w:after="0" w:line="264" w:lineRule="auto"/>
        <w:ind w:left="1803" w:hanging="1803"/>
        <w:rPr>
          <w:rFonts w:ascii="Arial" w:hAnsi="Arial" w:cs="Arial"/>
          <w:b/>
          <w:sz w:val="22"/>
          <w:lang w:eastAsia="ja-JP"/>
        </w:rPr>
      </w:pPr>
      <w:r>
        <w:rPr>
          <w:rFonts w:ascii="Arial" w:eastAsia="MS Mincho" w:hAnsi="Arial" w:cs="Arial"/>
          <w:b/>
          <w:sz w:val="22"/>
          <w:lang w:eastAsia="en-US"/>
        </w:rPr>
        <w:t>Document for:</w:t>
      </w:r>
      <w:r>
        <w:rPr>
          <w:rFonts w:ascii="Arial" w:hAnsi="Arial" w:cs="Arial"/>
          <w:b/>
          <w:sz w:val="22"/>
          <w:lang w:eastAsia="ja-JP"/>
        </w:rPr>
        <w:tab/>
      </w:r>
      <w:r>
        <w:rPr>
          <w:rFonts w:ascii="Arial" w:eastAsia="MS Mincho" w:hAnsi="Arial" w:cs="Arial"/>
          <w:b/>
          <w:sz w:val="22"/>
          <w:lang w:eastAsia="ja-JP"/>
        </w:rPr>
        <w:t>Discussion and Decision</w:t>
      </w:r>
    </w:p>
    <w:p w:rsidR="0055216E" w:rsidRDefault="00954509">
      <w:pPr>
        <w:pStyle w:val="1"/>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rsidR="0055216E" w:rsidRDefault="00954509">
      <w:pPr>
        <w:adjustRightInd w:val="0"/>
        <w:spacing w:beforeLines="50" w:before="180" w:beforeAutospacing="0" w:after="180"/>
        <w:jc w:val="both"/>
        <w:rPr>
          <w:szCs w:val="20"/>
        </w:rPr>
      </w:pPr>
      <w:r>
        <w:rPr>
          <w:szCs w:val="20"/>
        </w:rPr>
        <w:t>In RAN#</w:t>
      </w:r>
      <w:r>
        <w:rPr>
          <w:rFonts w:eastAsia="宋体" w:hint="eastAsia"/>
          <w:szCs w:val="20"/>
        </w:rPr>
        <w:t>102</w:t>
      </w:r>
      <w:r>
        <w:rPr>
          <w:szCs w:val="20"/>
        </w:rPr>
        <w:t xml:space="preserve"> meeting, a new work item on MIMO evolution </w:t>
      </w:r>
      <w:r>
        <w:rPr>
          <w:rFonts w:eastAsia="宋体" w:hint="eastAsia"/>
          <w:szCs w:val="20"/>
        </w:rPr>
        <w:t>in phase 5</w:t>
      </w:r>
      <w:r>
        <w:rPr>
          <w:szCs w:val="20"/>
        </w:rPr>
        <w:t xml:space="preserve"> has been approved in [1]. As shown in below, the enhancement</w:t>
      </w:r>
      <w:r>
        <w:rPr>
          <w:rFonts w:eastAsia="宋体" w:hint="eastAsia"/>
          <w:szCs w:val="20"/>
        </w:rPr>
        <w:t>s</w:t>
      </w:r>
      <w:r>
        <w:rPr>
          <w:szCs w:val="20"/>
        </w:rPr>
        <w:t xml:space="preserve"> on </w:t>
      </w:r>
      <w:r>
        <w:rPr>
          <w:rFonts w:eastAsia="宋体" w:hint="eastAsia"/>
          <w:szCs w:val="20"/>
        </w:rPr>
        <w:t>asymmetric DL sTRP/ UL</w:t>
      </w:r>
      <w:r>
        <w:rPr>
          <w:szCs w:val="20"/>
        </w:rPr>
        <w:t xml:space="preserve"> </w:t>
      </w:r>
      <w:r>
        <w:rPr>
          <w:rFonts w:eastAsia="宋体" w:hint="eastAsia"/>
          <w:szCs w:val="20"/>
        </w:rPr>
        <w:t xml:space="preserve">mTRP scenarios </w:t>
      </w:r>
      <w:r>
        <w:rPr>
          <w:szCs w:val="20"/>
        </w:rPr>
        <w:t>is one of the objectives for this WI:</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5216E">
        <w:tc>
          <w:tcPr>
            <w:tcW w:w="9576" w:type="dxa"/>
          </w:tcPr>
          <w:p w:rsidR="0055216E" w:rsidRDefault="00954509">
            <w:pPr>
              <w:numPr>
                <w:ilvl w:val="0"/>
                <w:numId w:val="6"/>
              </w:numPr>
              <w:adjustRightInd w:val="0"/>
              <w:spacing w:beforeAutospacing="0" w:afterLines="0" w:after="0"/>
              <w:ind w:left="726" w:hanging="363"/>
              <w:rPr>
                <w:szCs w:val="20"/>
                <w:lang w:eastAsia="en-US"/>
              </w:rPr>
            </w:pPr>
            <w:r>
              <w:rPr>
                <w:szCs w:val="20"/>
                <w:lang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rsidR="0055216E" w:rsidRDefault="00954509">
            <w:pPr>
              <w:numPr>
                <w:ilvl w:val="1"/>
                <w:numId w:val="6"/>
              </w:numPr>
              <w:adjustRightInd w:val="0"/>
              <w:spacing w:beforeAutospacing="0" w:afterLines="0" w:after="0"/>
              <w:ind w:left="1446" w:hanging="363"/>
              <w:rPr>
                <w:szCs w:val="20"/>
              </w:rPr>
            </w:pPr>
            <w:r>
              <w:rPr>
                <w:szCs w:val="20"/>
                <w:lang w:eastAsia="en-US"/>
              </w:rPr>
              <w:t xml:space="preserve">Two closed-loop PC adjustment states for SRS, both separate from PUSCH; and pathloss offset configurations for pathloss calculation to UL TRP(s), when the pathloss RS is from DL sTRP. </w:t>
            </w:r>
          </w:p>
        </w:tc>
      </w:tr>
    </w:tbl>
    <w:p w:rsidR="0055216E" w:rsidRDefault="00954509">
      <w:pPr>
        <w:adjustRightInd w:val="0"/>
        <w:spacing w:beforeLines="50" w:before="180" w:beforeAutospacing="0" w:after="180"/>
        <w:jc w:val="both"/>
        <w:rPr>
          <w:szCs w:val="20"/>
        </w:rPr>
      </w:pPr>
      <w:r>
        <w:rPr>
          <w:szCs w:val="20"/>
        </w:rPr>
        <w:t xml:space="preserve">In this contribution, we present our views </w:t>
      </w:r>
      <w:r>
        <w:rPr>
          <w:rFonts w:eastAsia="宋体" w:hint="eastAsia"/>
          <w:szCs w:val="20"/>
        </w:rPr>
        <w:t xml:space="preserve">of the </w:t>
      </w:r>
      <w:r>
        <w:rPr>
          <w:szCs w:val="20"/>
        </w:rPr>
        <w:t>enhancement</w:t>
      </w:r>
      <w:r>
        <w:rPr>
          <w:rFonts w:eastAsia="宋体" w:hint="eastAsia"/>
          <w:szCs w:val="20"/>
        </w:rPr>
        <w:t>s</w:t>
      </w:r>
      <w:r>
        <w:rPr>
          <w:szCs w:val="20"/>
        </w:rPr>
        <w:t xml:space="preserve"> </w:t>
      </w:r>
      <w:r>
        <w:rPr>
          <w:rFonts w:eastAsia="宋体" w:hint="eastAsia"/>
          <w:szCs w:val="20"/>
        </w:rPr>
        <w:t>for asymmetric DL sTRP/UL</w:t>
      </w:r>
      <w:r>
        <w:rPr>
          <w:szCs w:val="20"/>
        </w:rPr>
        <w:t xml:space="preserve"> </w:t>
      </w:r>
      <w:r>
        <w:rPr>
          <w:rFonts w:eastAsia="宋体" w:hint="eastAsia"/>
          <w:szCs w:val="20"/>
        </w:rPr>
        <w:t>mTRP scenarios</w:t>
      </w:r>
      <w:r>
        <w:rPr>
          <w:szCs w:val="20"/>
        </w:rPr>
        <w:t>.</w:t>
      </w:r>
    </w:p>
    <w:p w:rsidR="0055216E" w:rsidRDefault="00954509">
      <w:pPr>
        <w:pStyle w:val="1"/>
        <w:keepNext/>
        <w:tabs>
          <w:tab w:val="left" w:pos="3686"/>
          <w:tab w:val="left" w:pos="4536"/>
        </w:tabs>
        <w:spacing w:beforeLines="100" w:before="360" w:after="180" w:line="240" w:lineRule="auto"/>
        <w:textAlignment w:val="baseline"/>
        <w:rPr>
          <w:lang w:val="en-US"/>
        </w:rPr>
      </w:pPr>
      <w:r>
        <w:rPr>
          <w:lang w:val="en-US"/>
        </w:rPr>
        <w:t>The necessity</w:t>
      </w:r>
      <w:r>
        <w:rPr>
          <w:rFonts w:hint="eastAsia"/>
          <w:lang w:val="en-US"/>
        </w:rPr>
        <w:t xml:space="preserve"> of </w:t>
      </w:r>
      <w:r>
        <w:rPr>
          <w:lang w:val="en-US"/>
        </w:rPr>
        <w:t>fulfilling asymmetric DL sTRP/UL mTRP scenario</w:t>
      </w:r>
    </w:p>
    <w:p w:rsidR="0055216E" w:rsidRDefault="00954509">
      <w:pPr>
        <w:adjustRightInd w:val="0"/>
        <w:spacing w:beforeLines="50" w:before="180" w:beforeAutospacing="0" w:after="180"/>
        <w:jc w:val="both"/>
        <w:rPr>
          <w:rFonts w:eastAsia="宋体"/>
          <w:szCs w:val="20"/>
        </w:rPr>
      </w:pPr>
      <w:r>
        <w:rPr>
          <w:rFonts w:eastAsia="宋体"/>
          <w:szCs w:val="20"/>
        </w:rPr>
        <w:t xml:space="preserve">In RAN1#117 meeting, the following </w:t>
      </w:r>
      <w:r>
        <w:rPr>
          <w:rFonts w:eastAsia="宋体" w:hint="eastAsia"/>
          <w:szCs w:val="20"/>
        </w:rPr>
        <w:t xml:space="preserve">proposal </w:t>
      </w:r>
      <w:r>
        <w:rPr>
          <w:rFonts w:eastAsia="宋体"/>
          <w:szCs w:val="20"/>
        </w:rPr>
        <w:t xml:space="preserve">were reached for the issue of supporting </w:t>
      </w:r>
      <w:r>
        <w:rPr>
          <w:rFonts w:eastAsia="宋体" w:hint="eastAsia"/>
          <w:szCs w:val="20"/>
        </w:rPr>
        <w:t>two TAs for asymmetric DL sTRP/UL mTRP scenario</w:t>
      </w:r>
      <w:r>
        <w:rPr>
          <w:rFonts w:eastAsia="宋体"/>
          <w:szCs w:val="20"/>
        </w:rPr>
        <w:t xml:space="preserve"> [</w:t>
      </w:r>
      <w:r>
        <w:rPr>
          <w:rFonts w:eastAsia="宋体" w:hint="eastAsia"/>
          <w:szCs w:val="20"/>
        </w:rPr>
        <w:t>2</w:t>
      </w:r>
      <w:r>
        <w:rPr>
          <w:rFonts w:eastAsia="宋体"/>
          <w:szCs w:val="20"/>
        </w:rPr>
        <w:t>].</w:t>
      </w:r>
    </w:p>
    <w:tbl>
      <w:tblPr>
        <w:tblStyle w:val="afc"/>
        <w:tblW w:w="0" w:type="auto"/>
        <w:tblInd w:w="111" w:type="dxa"/>
        <w:tblLook w:val="04A0" w:firstRow="1" w:lastRow="0" w:firstColumn="1" w:lastColumn="0" w:noHBand="0" w:noVBand="1"/>
      </w:tblPr>
      <w:tblGrid>
        <w:gridCol w:w="9239"/>
      </w:tblGrid>
      <w:tr w:rsidR="0055216E">
        <w:tc>
          <w:tcPr>
            <w:tcW w:w="9355" w:type="dxa"/>
          </w:tcPr>
          <w:p w:rsidR="0055216E" w:rsidRDefault="00954509">
            <w:pPr>
              <w:snapToGrid/>
              <w:spacing w:beforeAutospacing="0" w:afterLines="0" w:after="0"/>
              <w:jc w:val="both"/>
              <w:rPr>
                <w:rFonts w:eastAsia="等线"/>
                <w:szCs w:val="20"/>
                <w:lang w:val="en-GB" w:eastAsia="en-US"/>
              </w:rPr>
            </w:pPr>
            <w:r>
              <w:rPr>
                <w:rFonts w:eastAsia="等线"/>
                <w:b/>
                <w:bCs/>
                <w:szCs w:val="20"/>
                <w:lang w:val="en-GB" w:eastAsia="en-US"/>
              </w:rPr>
              <w:t>Proposal</w:t>
            </w:r>
            <w:r>
              <w:rPr>
                <w:rFonts w:eastAsia="等线" w:hint="eastAsia"/>
                <w:b/>
                <w:bCs/>
                <w:szCs w:val="20"/>
                <w:lang w:val="en-GB"/>
              </w:rPr>
              <w:t xml:space="preserve"> 3.1</w:t>
            </w:r>
            <w:r>
              <w:rPr>
                <w:rFonts w:eastAsia="等线"/>
                <w:szCs w:val="20"/>
                <w:lang w:val="en-GB" w:eastAsia="en-US"/>
              </w:rPr>
              <w:t>:</w:t>
            </w:r>
          </w:p>
          <w:p w:rsidR="0055216E" w:rsidRDefault="00954509">
            <w:pPr>
              <w:snapToGrid/>
              <w:spacing w:beforeAutospacing="0" w:afterLines="0" w:after="0"/>
              <w:jc w:val="both"/>
              <w:rPr>
                <w:rFonts w:eastAsia="等线"/>
                <w:szCs w:val="20"/>
                <w:lang w:val="en-GB" w:eastAsia="en-US"/>
              </w:rPr>
            </w:pPr>
            <w:r>
              <w:rPr>
                <w:rFonts w:eastAsia="等线"/>
                <w:szCs w:val="20"/>
                <w:lang w:val="en-GB" w:eastAsia="en-US"/>
              </w:rPr>
              <w:t xml:space="preserve">To fulfil </w:t>
            </w:r>
            <w:r>
              <w:rPr>
                <w:rFonts w:eastAsia="等线" w:hint="eastAsia"/>
                <w:szCs w:val="20"/>
                <w:lang w:val="en-GB"/>
              </w:rPr>
              <w:t xml:space="preserve">the </w:t>
            </w:r>
            <w:r>
              <w:rPr>
                <w:rFonts w:eastAsia="等线"/>
                <w:szCs w:val="20"/>
                <w:lang w:val="en-GB" w:eastAsia="en-US"/>
              </w:rPr>
              <w:t>asymmetric DL sTRP/UL mTRP deployment scenarios, support two TAs for single DCI based multi-TRP/panel and single TRP.</w:t>
            </w:r>
          </w:p>
          <w:p w:rsidR="0055216E" w:rsidRDefault="00954509">
            <w:pPr>
              <w:numPr>
                <w:ilvl w:val="0"/>
                <w:numId w:val="7"/>
              </w:numPr>
              <w:snapToGrid/>
              <w:spacing w:beforeAutospacing="0" w:afterLines="0" w:after="0"/>
              <w:rPr>
                <w:rFonts w:eastAsia="等线"/>
                <w:szCs w:val="20"/>
                <w:lang w:val="en-GB" w:eastAsia="en-US"/>
              </w:rPr>
            </w:pPr>
            <w:r>
              <w:rPr>
                <w:rFonts w:eastAsia="等线"/>
                <w:szCs w:val="20"/>
                <w:lang w:val="en-GB" w:eastAsia="en-US"/>
              </w:rPr>
              <w:t xml:space="preserve">Reuse Rel-18 specification of two TA for multi-DCI based multi-TRP/panel and remove the restriction that </w:t>
            </w:r>
            <w:r>
              <w:rPr>
                <w:rFonts w:eastAsia="等线"/>
                <w:i/>
                <w:iCs/>
                <w:szCs w:val="20"/>
                <w:lang w:val="en-GB" w:eastAsia="en-US"/>
              </w:rPr>
              <w:t>coresetPoolIndex</w:t>
            </w:r>
            <w:r>
              <w:rPr>
                <w:rFonts w:eastAsia="等线"/>
                <w:szCs w:val="20"/>
                <w:lang w:val="en-GB" w:eastAsia="en-US"/>
              </w:rPr>
              <w:t xml:space="preserve"> needs to be configured.</w:t>
            </w:r>
          </w:p>
          <w:p w:rsidR="0055216E" w:rsidRDefault="00954509">
            <w:pPr>
              <w:snapToGrid/>
              <w:spacing w:beforeAutospacing="0" w:afterLines="0" w:after="0"/>
              <w:rPr>
                <w:rFonts w:eastAsia="等线"/>
                <w:szCs w:val="20"/>
                <w:lang w:val="en-CA" w:eastAsia="en-US"/>
              </w:rPr>
            </w:pPr>
            <w:r>
              <w:rPr>
                <w:rFonts w:ascii="Times" w:eastAsia="Batang" w:hAnsi="Times"/>
                <w:lang w:val="en-GB" w:eastAsia="ko-KR"/>
              </w:rPr>
              <w:t>Companies are encouraged to consider above for further discussion in RAN1#118</w:t>
            </w:r>
          </w:p>
        </w:tc>
      </w:tr>
    </w:tbl>
    <w:p w:rsidR="0055216E" w:rsidRDefault="00954509">
      <w:pPr>
        <w:adjustRightInd w:val="0"/>
        <w:spacing w:beforeLines="50" w:before="180" w:beforeAutospacing="0" w:after="180"/>
        <w:jc w:val="both"/>
        <w:rPr>
          <w:rFonts w:eastAsia="宋体"/>
          <w:szCs w:val="20"/>
        </w:rPr>
      </w:pPr>
      <w:r>
        <w:rPr>
          <w:rFonts w:eastAsia="宋体"/>
          <w:szCs w:val="20"/>
        </w:rPr>
        <w:t>In particular</w:t>
      </w:r>
      <w:r>
        <w:rPr>
          <w:rFonts w:eastAsia="宋体" w:hint="eastAsia"/>
          <w:szCs w:val="20"/>
        </w:rPr>
        <w:t xml:space="preserve">, the necessity of TA related enhancement </w:t>
      </w:r>
      <w:r>
        <w:rPr>
          <w:rFonts w:eastAsia="宋体"/>
          <w:szCs w:val="20"/>
        </w:rPr>
        <w:t xml:space="preserve">is </w:t>
      </w:r>
      <w:r>
        <w:rPr>
          <w:rFonts w:eastAsia="宋体" w:hint="eastAsia"/>
          <w:szCs w:val="20"/>
        </w:rPr>
        <w:t xml:space="preserve">indeed </w:t>
      </w:r>
      <w:r>
        <w:rPr>
          <w:rFonts w:eastAsia="宋体"/>
          <w:szCs w:val="20"/>
        </w:rPr>
        <w:t>worth to</w:t>
      </w:r>
      <w:r>
        <w:rPr>
          <w:rFonts w:eastAsia="宋体" w:hint="eastAsia"/>
          <w:szCs w:val="20"/>
        </w:rPr>
        <w:t xml:space="preserve"> be assessed, mainly due to it is becoming the bottleneck of UL performance and also the commercial network deployment </w:t>
      </w:r>
      <w:r>
        <w:rPr>
          <w:rFonts w:eastAsia="宋体"/>
          <w:szCs w:val="20"/>
        </w:rPr>
        <w:t>for</w:t>
      </w:r>
      <w:r>
        <w:rPr>
          <w:rFonts w:eastAsia="宋体" w:hint="eastAsia"/>
          <w:szCs w:val="20"/>
        </w:rPr>
        <w:t xml:space="preserve"> asymmetric UL sTRP/ DL mTRP scenarios.</w:t>
      </w:r>
    </w:p>
    <w:p w:rsidR="0055216E" w:rsidRDefault="00954509">
      <w:pPr>
        <w:adjustRightInd w:val="0"/>
        <w:spacing w:beforeLines="50" w:before="180" w:beforeAutospacing="0" w:after="180"/>
        <w:jc w:val="both"/>
        <w:rPr>
          <w:rFonts w:eastAsia="宋体"/>
          <w:szCs w:val="20"/>
        </w:rPr>
      </w:pPr>
      <w:r>
        <w:rPr>
          <w:rFonts w:eastAsia="宋体" w:hint="eastAsia"/>
          <w:szCs w:val="20"/>
        </w:rPr>
        <w:t xml:space="preserve">Given that downlink is received from a single TRP as stated in WID, single DCI based mTRP/sTRP for uplink transmission is expected to be the basic scheduling scheme in this scenario, in where only one single TAG can be used for uplink transmissions. Nonetheless, even if it is assumed that asymmetric UL sTRP/DL mTRP scenarios under ideally synchronized, uplink propagation delay difference between macro and micro nodes should be strictly limited by timing error limit </w:t>
      </w:r>
      <w:proofErr w:type="spellStart"/>
      <w:r>
        <w:rPr>
          <w:rFonts w:eastAsia="宋体" w:hint="eastAsia"/>
          <w:szCs w:val="20"/>
        </w:rPr>
        <w:t>T</w:t>
      </w:r>
      <w:r>
        <w:rPr>
          <w:rFonts w:eastAsia="宋体" w:hint="eastAsia"/>
          <w:szCs w:val="20"/>
          <w:vertAlign w:val="subscript"/>
        </w:rPr>
        <w:t>e</w:t>
      </w:r>
      <w:proofErr w:type="spellEnd"/>
      <w:r>
        <w:rPr>
          <w:rFonts w:eastAsia="宋体" w:hint="eastAsia"/>
          <w:szCs w:val="20"/>
        </w:rPr>
        <w:t xml:space="preserve"> as specified in TS 38.133 [3]. For reference, timing error limit </w:t>
      </w:r>
      <w:proofErr w:type="spellStart"/>
      <w:r>
        <w:rPr>
          <w:rFonts w:eastAsia="宋体" w:hint="eastAsia"/>
          <w:szCs w:val="20"/>
        </w:rPr>
        <w:t>T</w:t>
      </w:r>
      <w:r>
        <w:rPr>
          <w:rFonts w:eastAsia="宋体" w:hint="eastAsia"/>
          <w:szCs w:val="20"/>
          <w:vertAlign w:val="subscript"/>
        </w:rPr>
        <w:t>e</w:t>
      </w:r>
      <w:proofErr w:type="spellEnd"/>
      <w:r>
        <w:rPr>
          <w:rFonts w:eastAsia="宋体" w:hint="eastAsia"/>
          <w:szCs w:val="20"/>
        </w:rPr>
        <w:t xml:space="preserve"> of uplink transmission in FR1 and FR2 is provided in the following Table 1.</w:t>
      </w:r>
    </w:p>
    <w:p w:rsidR="0055216E" w:rsidRDefault="00954509">
      <w:pPr>
        <w:pStyle w:val="TH"/>
        <w:spacing w:before="108" w:after="108"/>
        <w:rPr>
          <w:rFonts w:ascii="Times New Roman" w:eastAsia="宋体" w:hAnsi="Times New Roman"/>
          <w:b w:val="0"/>
          <w:bCs/>
          <w:lang w:eastAsia="zh-CN"/>
        </w:rPr>
      </w:pPr>
      <w:r>
        <w:rPr>
          <w:rFonts w:ascii="Times New Roman" w:hAnsi="Times New Roman"/>
        </w:rPr>
        <w:lastRenderedPageBreak/>
        <w:t xml:space="preserve">Table </w:t>
      </w:r>
      <w:r>
        <w:rPr>
          <w:rFonts w:ascii="Times New Roman" w:eastAsia="宋体" w:hAnsi="Times New Roman"/>
          <w:lang w:eastAsia="zh-CN"/>
        </w:rPr>
        <w:t>1</w:t>
      </w:r>
      <w:r>
        <w:rPr>
          <w:rFonts w:ascii="Times New Roman" w:eastAsia="宋体" w:hAnsi="Times New Roman" w:hint="eastAsia"/>
          <w:lang w:eastAsia="zh-CN"/>
        </w:rPr>
        <w:tab/>
      </w:r>
      <w:r>
        <w:rPr>
          <w:rFonts w:ascii="Times New Roman" w:hAnsi="Times New Roman"/>
          <w:b w:val="0"/>
          <w:bCs/>
        </w:rPr>
        <w:t xml:space="preserve">Timing </w:t>
      </w:r>
      <w:r>
        <w:rPr>
          <w:rFonts w:ascii="Times New Roman" w:eastAsia="宋体" w:hAnsi="Times New Roman" w:hint="eastAsia"/>
          <w:b w:val="0"/>
          <w:bCs/>
          <w:lang w:eastAsia="zh-CN"/>
        </w:rPr>
        <w:t>e</w:t>
      </w:r>
      <w:r>
        <w:rPr>
          <w:rFonts w:ascii="Times New Roman" w:hAnsi="Times New Roman"/>
          <w:b w:val="0"/>
          <w:bCs/>
        </w:rPr>
        <w:t xml:space="preserve">rror </w:t>
      </w:r>
      <w:r>
        <w:rPr>
          <w:rFonts w:ascii="Times New Roman" w:eastAsia="宋体" w:hAnsi="Times New Roman" w:hint="eastAsia"/>
          <w:b w:val="0"/>
          <w:bCs/>
          <w:lang w:eastAsia="zh-CN"/>
        </w:rPr>
        <w:t>l</w:t>
      </w:r>
      <w:r>
        <w:rPr>
          <w:rFonts w:ascii="Times New Roman" w:hAnsi="Times New Roman"/>
          <w:b w:val="0"/>
          <w:bCs/>
        </w:rPr>
        <w:t>imit</w:t>
      </w:r>
      <w:r>
        <w:rPr>
          <w:rFonts w:ascii="Times New Roman" w:eastAsia="宋体" w:hAnsi="Times New Roman"/>
          <w:b w:val="0"/>
          <w:bCs/>
          <w:lang w:eastAsia="zh-CN"/>
        </w:rPr>
        <w:t xml:space="preserve"> </w:t>
      </w:r>
      <w:proofErr w:type="spellStart"/>
      <w:r>
        <w:rPr>
          <w:rFonts w:ascii="Times New Roman" w:hAnsi="Times New Roman"/>
          <w:b w:val="0"/>
          <w:bCs/>
        </w:rPr>
        <w:t>T</w:t>
      </w:r>
      <w:r>
        <w:rPr>
          <w:rFonts w:ascii="Times New Roman" w:hAnsi="Times New Roman"/>
          <w:b w:val="0"/>
          <w:bCs/>
          <w:vertAlign w:val="subscript"/>
        </w:rPr>
        <w:t>e</w:t>
      </w:r>
      <w:proofErr w:type="spellEnd"/>
      <w:r>
        <w:rPr>
          <w:rFonts w:ascii="Times New Roman" w:hAnsi="Times New Roman"/>
          <w:b w:val="0"/>
          <w:bCs/>
        </w:rPr>
        <w:t xml:space="preserve"> </w:t>
      </w:r>
      <w:r>
        <w:rPr>
          <w:rFonts w:ascii="Times New Roman" w:eastAsia="宋体" w:hAnsi="Times New Roman" w:hint="eastAsia"/>
          <w:b w:val="0"/>
          <w:bCs/>
          <w:lang w:eastAsia="zh-CN"/>
        </w:rPr>
        <w:t>of u</w:t>
      </w:r>
      <w:r>
        <w:rPr>
          <w:rFonts w:ascii="Times New Roman" w:eastAsia="宋体" w:hAnsi="Times New Roman"/>
          <w:b w:val="0"/>
          <w:bCs/>
          <w:lang w:eastAsia="zh-CN"/>
        </w:rPr>
        <w:t xml:space="preserve">plink </w:t>
      </w:r>
      <w:r>
        <w:rPr>
          <w:rFonts w:ascii="Times New Roman" w:eastAsia="宋体" w:hAnsi="Times New Roman" w:hint="eastAsia"/>
          <w:b w:val="0"/>
          <w:bCs/>
          <w:lang w:eastAsia="zh-CN"/>
        </w:rPr>
        <w:t>signals</w:t>
      </w:r>
    </w:p>
    <w:tbl>
      <w:tblPr>
        <w:tblW w:w="3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468"/>
        <w:gridCol w:w="1471"/>
        <w:gridCol w:w="2776"/>
      </w:tblGrid>
      <w:tr w:rsidR="0055216E">
        <w:trPr>
          <w:cantSplit/>
          <w:jc w:val="center"/>
        </w:trPr>
        <w:tc>
          <w:tcPr>
            <w:tcW w:w="874" w:type="pct"/>
            <w:vAlign w:val="center"/>
          </w:tcPr>
          <w:p w:rsidR="0055216E" w:rsidRDefault="00954509">
            <w:pPr>
              <w:pStyle w:val="TAH"/>
              <w:spacing w:before="108" w:after="108"/>
              <w:rPr>
                <w:rFonts w:ascii="Times New Roman" w:hAnsi="Times New Roman"/>
                <w:sz w:val="20"/>
              </w:rPr>
            </w:pPr>
            <w:r>
              <w:rPr>
                <w:rFonts w:ascii="Times New Roman" w:hAnsi="Times New Roman"/>
                <w:sz w:val="20"/>
              </w:rPr>
              <w:t>Frequency Range</w:t>
            </w:r>
          </w:p>
        </w:tc>
        <w:tc>
          <w:tcPr>
            <w:tcW w:w="1060" w:type="pct"/>
            <w:tcBorders>
              <w:bottom w:val="single" w:sz="4" w:space="0" w:color="auto"/>
            </w:tcBorders>
            <w:vAlign w:val="center"/>
          </w:tcPr>
          <w:p w:rsidR="0055216E" w:rsidRDefault="00954509">
            <w:pPr>
              <w:pStyle w:val="TAH"/>
              <w:spacing w:before="108" w:after="108"/>
              <w:rPr>
                <w:rFonts w:ascii="Times New Roman" w:hAnsi="Times New Roman"/>
                <w:sz w:val="20"/>
              </w:rPr>
            </w:pPr>
            <w:r>
              <w:rPr>
                <w:rFonts w:ascii="Times New Roman" w:hAnsi="Times New Roman"/>
                <w:sz w:val="20"/>
              </w:rPr>
              <w:t>SCS of SSB signals (kHz)</w:t>
            </w:r>
          </w:p>
        </w:tc>
        <w:tc>
          <w:tcPr>
            <w:tcW w:w="1062" w:type="pct"/>
            <w:vAlign w:val="center"/>
          </w:tcPr>
          <w:p w:rsidR="0055216E" w:rsidRDefault="00954509">
            <w:pPr>
              <w:pStyle w:val="TAH"/>
              <w:spacing w:before="108" w:after="108"/>
              <w:rPr>
                <w:rFonts w:ascii="Times New Roman" w:hAnsi="Times New Roman"/>
                <w:sz w:val="20"/>
              </w:rPr>
            </w:pPr>
            <w:r>
              <w:rPr>
                <w:rFonts w:ascii="Times New Roman" w:hAnsi="Times New Roman"/>
                <w:sz w:val="20"/>
              </w:rPr>
              <w:t>SCS of uplink signals (kHz)</w:t>
            </w:r>
          </w:p>
        </w:tc>
        <w:tc>
          <w:tcPr>
            <w:tcW w:w="2003" w:type="pct"/>
            <w:vAlign w:val="center"/>
          </w:tcPr>
          <w:p w:rsidR="0055216E" w:rsidRDefault="00954509">
            <w:pPr>
              <w:pStyle w:val="TAH"/>
              <w:spacing w:before="108" w:after="108"/>
              <w:rPr>
                <w:rFonts w:ascii="Times New Roman" w:hAnsi="Times New Roman"/>
                <w:sz w:val="20"/>
              </w:rPr>
            </w:pPr>
            <w:proofErr w:type="spellStart"/>
            <w:r>
              <w:rPr>
                <w:rFonts w:ascii="Times New Roman" w:hAnsi="Times New Roman"/>
                <w:sz w:val="20"/>
              </w:rPr>
              <w:t>T</w:t>
            </w:r>
            <w:r>
              <w:rPr>
                <w:rFonts w:ascii="Times New Roman" w:hAnsi="Times New Roman"/>
                <w:sz w:val="20"/>
                <w:vertAlign w:val="subscript"/>
              </w:rPr>
              <w:t>e</w:t>
            </w:r>
            <w:proofErr w:type="spellEnd"/>
          </w:p>
        </w:tc>
      </w:tr>
      <w:tr w:rsidR="0055216E">
        <w:trPr>
          <w:cantSplit/>
          <w:jc w:val="center"/>
        </w:trPr>
        <w:tc>
          <w:tcPr>
            <w:tcW w:w="874" w:type="pct"/>
            <w:tcBorders>
              <w:bottom w:val="nil"/>
              <w:right w:val="single" w:sz="4" w:space="0" w:color="auto"/>
            </w:tcBorders>
            <w:vAlign w:val="center"/>
          </w:tcPr>
          <w:p w:rsidR="0055216E" w:rsidRDefault="00954509">
            <w:pPr>
              <w:pStyle w:val="TAC"/>
              <w:spacing w:before="108" w:after="108"/>
              <w:rPr>
                <w:rFonts w:ascii="Times New Roman" w:hAnsi="Times New Roman"/>
                <w:sz w:val="20"/>
              </w:rPr>
            </w:pPr>
            <w:r>
              <w:rPr>
                <w:rFonts w:ascii="Times New Roman" w:hAnsi="Times New Roman"/>
                <w:sz w:val="20"/>
              </w:rPr>
              <w:t>1</w:t>
            </w:r>
          </w:p>
        </w:tc>
        <w:tc>
          <w:tcPr>
            <w:tcW w:w="1060" w:type="pct"/>
            <w:tcBorders>
              <w:top w:val="single" w:sz="4" w:space="0" w:color="auto"/>
              <w:left w:val="single" w:sz="4" w:space="0" w:color="auto"/>
              <w:bottom w:val="single" w:sz="4" w:space="0" w:color="auto"/>
              <w:right w:val="single" w:sz="4" w:space="0" w:color="auto"/>
            </w:tcBorders>
            <w:vAlign w:val="center"/>
          </w:tcPr>
          <w:p w:rsidR="0055216E" w:rsidRDefault="00954509">
            <w:pPr>
              <w:pStyle w:val="TAC"/>
              <w:spacing w:before="108" w:after="108"/>
              <w:rPr>
                <w:rFonts w:ascii="Times New Roman" w:hAnsi="Times New Roman"/>
                <w:sz w:val="20"/>
              </w:rPr>
            </w:pPr>
            <w:r>
              <w:rPr>
                <w:rFonts w:ascii="Times New Roman" w:hAnsi="Times New Roman"/>
                <w:sz w:val="20"/>
              </w:rPr>
              <w:t>15</w:t>
            </w:r>
          </w:p>
        </w:tc>
        <w:tc>
          <w:tcPr>
            <w:tcW w:w="1062" w:type="pct"/>
            <w:tcBorders>
              <w:left w:val="single" w:sz="4" w:space="0" w:color="auto"/>
            </w:tcBorders>
          </w:tcPr>
          <w:p w:rsidR="0055216E" w:rsidRDefault="00954509">
            <w:pPr>
              <w:pStyle w:val="TAC"/>
              <w:spacing w:before="108" w:after="108"/>
              <w:rPr>
                <w:rFonts w:ascii="Times New Roman" w:hAnsi="Times New Roman"/>
                <w:sz w:val="20"/>
              </w:rPr>
            </w:pPr>
            <w:r>
              <w:rPr>
                <w:rFonts w:ascii="Times New Roman" w:hAnsi="Times New Roman"/>
                <w:sz w:val="20"/>
              </w:rPr>
              <w:t>15</w:t>
            </w:r>
          </w:p>
        </w:tc>
        <w:tc>
          <w:tcPr>
            <w:tcW w:w="2003" w:type="pct"/>
          </w:tcPr>
          <w:p w:rsidR="0055216E" w:rsidRDefault="00954509">
            <w:pPr>
              <w:pStyle w:val="TAC"/>
              <w:spacing w:before="108" w:after="108"/>
              <w:rPr>
                <w:rFonts w:ascii="Times New Roman" w:eastAsia="宋体" w:hAnsi="Times New Roman"/>
                <w:sz w:val="20"/>
                <w:lang w:eastAsia="zh-CN"/>
              </w:rPr>
            </w:pPr>
            <w:r>
              <w:rPr>
                <w:rFonts w:ascii="Times New Roman" w:hAnsi="Times New Roman"/>
                <w:sz w:val="20"/>
              </w:rPr>
              <w:t>12*64*T</w:t>
            </w:r>
            <w:r>
              <w:rPr>
                <w:rFonts w:ascii="Times New Roman" w:hAnsi="Times New Roman"/>
                <w:sz w:val="20"/>
                <w:vertAlign w:val="subscript"/>
              </w:rPr>
              <w:t>c</w:t>
            </w:r>
            <w:r>
              <w:rPr>
                <w:rFonts w:ascii="Times New Roman" w:eastAsia="宋体" w:hAnsi="Times New Roman"/>
                <w:sz w:val="20"/>
                <w:lang w:eastAsia="zh-CN"/>
              </w:rPr>
              <w:t xml:space="preserve"> (390.9ns)</w:t>
            </w:r>
          </w:p>
        </w:tc>
      </w:tr>
      <w:tr w:rsidR="0055216E">
        <w:trPr>
          <w:cantSplit/>
          <w:jc w:val="center"/>
        </w:trPr>
        <w:tc>
          <w:tcPr>
            <w:tcW w:w="874" w:type="pct"/>
            <w:tcBorders>
              <w:top w:val="nil"/>
              <w:bottom w:val="nil"/>
              <w:right w:val="single" w:sz="4" w:space="0" w:color="auto"/>
            </w:tcBorders>
            <w:vAlign w:val="center"/>
          </w:tcPr>
          <w:p w:rsidR="0055216E" w:rsidRDefault="0055216E">
            <w:pPr>
              <w:pStyle w:val="TAC"/>
              <w:spacing w:before="108" w:after="108"/>
              <w:rPr>
                <w:rFonts w:ascii="Times New Roman" w:hAnsi="Times New Roman"/>
                <w:sz w:val="20"/>
              </w:rPr>
            </w:pPr>
          </w:p>
        </w:tc>
        <w:tc>
          <w:tcPr>
            <w:tcW w:w="1060" w:type="pct"/>
            <w:vMerge w:val="restart"/>
            <w:tcBorders>
              <w:top w:val="single" w:sz="4" w:space="0" w:color="auto"/>
              <w:left w:val="single" w:sz="4" w:space="0" w:color="auto"/>
              <w:bottom w:val="single" w:sz="4" w:space="0" w:color="auto"/>
              <w:right w:val="single" w:sz="4" w:space="0" w:color="auto"/>
            </w:tcBorders>
          </w:tcPr>
          <w:p w:rsidR="0055216E" w:rsidRDefault="00954509">
            <w:pPr>
              <w:pStyle w:val="TAC"/>
              <w:spacing w:before="108" w:after="108"/>
              <w:rPr>
                <w:rFonts w:ascii="Times New Roman" w:eastAsia="宋体" w:hAnsi="Times New Roman"/>
                <w:sz w:val="20"/>
                <w:lang w:eastAsia="zh-CN"/>
              </w:rPr>
            </w:pPr>
            <w:r>
              <w:rPr>
                <w:rFonts w:ascii="Times New Roman" w:eastAsia="宋体" w:hAnsi="Times New Roman" w:hint="eastAsia"/>
                <w:sz w:val="20"/>
                <w:lang w:eastAsia="zh-CN"/>
              </w:rPr>
              <w:t>30</w:t>
            </w:r>
          </w:p>
        </w:tc>
        <w:tc>
          <w:tcPr>
            <w:tcW w:w="1062" w:type="pct"/>
            <w:tcBorders>
              <w:left w:val="single" w:sz="4" w:space="0" w:color="auto"/>
            </w:tcBorders>
          </w:tcPr>
          <w:p w:rsidR="0055216E" w:rsidRDefault="00954509">
            <w:pPr>
              <w:pStyle w:val="TAC"/>
              <w:spacing w:before="108" w:after="108"/>
              <w:rPr>
                <w:rFonts w:ascii="Times New Roman" w:hAnsi="Times New Roman"/>
                <w:sz w:val="20"/>
              </w:rPr>
            </w:pPr>
            <w:r>
              <w:rPr>
                <w:rFonts w:ascii="Times New Roman" w:hAnsi="Times New Roman"/>
                <w:sz w:val="20"/>
              </w:rPr>
              <w:t>30</w:t>
            </w:r>
          </w:p>
        </w:tc>
        <w:tc>
          <w:tcPr>
            <w:tcW w:w="2003" w:type="pct"/>
          </w:tcPr>
          <w:p w:rsidR="0055216E" w:rsidRDefault="00954509">
            <w:pPr>
              <w:pStyle w:val="TAC"/>
              <w:spacing w:before="108" w:after="108"/>
              <w:rPr>
                <w:rFonts w:ascii="Times New Roman" w:hAnsi="Times New Roman"/>
                <w:sz w:val="20"/>
              </w:rPr>
            </w:pPr>
            <w:r>
              <w:rPr>
                <w:rFonts w:ascii="Times New Roman" w:hAnsi="Times New Roman"/>
                <w:sz w:val="20"/>
              </w:rPr>
              <w:t>8*64*T</w:t>
            </w:r>
            <w:r>
              <w:rPr>
                <w:rFonts w:ascii="Times New Roman" w:hAnsi="Times New Roman"/>
                <w:sz w:val="20"/>
                <w:vertAlign w:val="subscript"/>
              </w:rPr>
              <w:t>c</w:t>
            </w:r>
            <w:r>
              <w:rPr>
                <w:rFonts w:ascii="Times New Roman" w:eastAsia="宋体" w:hAnsi="Times New Roman"/>
                <w:sz w:val="20"/>
                <w:lang w:eastAsia="zh-CN"/>
              </w:rPr>
              <w:t xml:space="preserve"> (260.6ns)</w:t>
            </w:r>
          </w:p>
        </w:tc>
      </w:tr>
      <w:tr w:rsidR="0055216E">
        <w:trPr>
          <w:cantSplit/>
          <w:jc w:val="center"/>
        </w:trPr>
        <w:tc>
          <w:tcPr>
            <w:tcW w:w="874" w:type="pct"/>
            <w:tcBorders>
              <w:top w:val="nil"/>
              <w:bottom w:val="single" w:sz="4" w:space="0" w:color="auto"/>
              <w:right w:val="single" w:sz="4" w:space="0" w:color="auto"/>
            </w:tcBorders>
            <w:vAlign w:val="center"/>
          </w:tcPr>
          <w:p w:rsidR="0055216E" w:rsidRDefault="0055216E">
            <w:pPr>
              <w:pStyle w:val="TAC"/>
              <w:spacing w:before="108" w:after="108"/>
              <w:rPr>
                <w:rFonts w:ascii="Times New Roman" w:hAnsi="Times New Roman"/>
                <w:sz w:val="20"/>
              </w:rPr>
            </w:pPr>
          </w:p>
        </w:tc>
        <w:tc>
          <w:tcPr>
            <w:tcW w:w="1060" w:type="pct"/>
            <w:vMerge/>
            <w:tcBorders>
              <w:top w:val="single" w:sz="4" w:space="0" w:color="auto"/>
              <w:left w:val="single" w:sz="4" w:space="0" w:color="auto"/>
              <w:bottom w:val="single" w:sz="4" w:space="0" w:color="auto"/>
              <w:right w:val="single" w:sz="4" w:space="0" w:color="auto"/>
            </w:tcBorders>
            <w:vAlign w:val="center"/>
          </w:tcPr>
          <w:p w:rsidR="0055216E" w:rsidRDefault="0055216E">
            <w:pPr>
              <w:pStyle w:val="TAC"/>
              <w:spacing w:before="108" w:after="108"/>
              <w:rPr>
                <w:rFonts w:ascii="Times New Roman" w:hAnsi="Times New Roman"/>
                <w:sz w:val="20"/>
              </w:rPr>
            </w:pPr>
          </w:p>
        </w:tc>
        <w:tc>
          <w:tcPr>
            <w:tcW w:w="1062" w:type="pct"/>
            <w:tcBorders>
              <w:left w:val="single" w:sz="4" w:space="0" w:color="auto"/>
            </w:tcBorders>
          </w:tcPr>
          <w:p w:rsidR="0055216E" w:rsidRDefault="00954509">
            <w:pPr>
              <w:pStyle w:val="TAC"/>
              <w:spacing w:before="108" w:after="108"/>
              <w:rPr>
                <w:rFonts w:ascii="Times New Roman" w:hAnsi="Times New Roman"/>
                <w:sz w:val="20"/>
              </w:rPr>
            </w:pPr>
            <w:r>
              <w:rPr>
                <w:rFonts w:ascii="Times New Roman" w:hAnsi="Times New Roman"/>
                <w:sz w:val="20"/>
              </w:rPr>
              <w:t>60</w:t>
            </w:r>
          </w:p>
        </w:tc>
        <w:tc>
          <w:tcPr>
            <w:tcW w:w="2003" w:type="pct"/>
          </w:tcPr>
          <w:p w:rsidR="0055216E" w:rsidRDefault="00954509">
            <w:pPr>
              <w:pStyle w:val="TAC"/>
              <w:spacing w:before="108" w:after="108"/>
              <w:rPr>
                <w:rFonts w:ascii="Times New Roman" w:hAnsi="Times New Roman"/>
                <w:sz w:val="20"/>
              </w:rPr>
            </w:pPr>
            <w:r>
              <w:rPr>
                <w:rFonts w:ascii="Times New Roman" w:hAnsi="Times New Roman"/>
                <w:sz w:val="20"/>
              </w:rPr>
              <w:t>7*64*T</w:t>
            </w:r>
            <w:r>
              <w:rPr>
                <w:rFonts w:ascii="Times New Roman" w:hAnsi="Times New Roman"/>
                <w:sz w:val="20"/>
                <w:vertAlign w:val="subscript"/>
              </w:rPr>
              <w:t>c</w:t>
            </w:r>
            <w:r>
              <w:rPr>
                <w:rFonts w:ascii="Times New Roman" w:eastAsia="宋体" w:hAnsi="Times New Roman"/>
                <w:sz w:val="20"/>
                <w:lang w:eastAsia="zh-CN"/>
              </w:rPr>
              <w:t xml:space="preserve"> (228.0ns)</w:t>
            </w:r>
          </w:p>
        </w:tc>
      </w:tr>
      <w:tr w:rsidR="0055216E">
        <w:trPr>
          <w:cantSplit/>
          <w:jc w:val="center"/>
        </w:trPr>
        <w:tc>
          <w:tcPr>
            <w:tcW w:w="874" w:type="pct"/>
            <w:tcBorders>
              <w:bottom w:val="nil"/>
            </w:tcBorders>
            <w:shd w:val="clear" w:color="auto" w:fill="auto"/>
            <w:vAlign w:val="center"/>
          </w:tcPr>
          <w:p w:rsidR="0055216E" w:rsidRDefault="00954509">
            <w:pPr>
              <w:pStyle w:val="TAC"/>
              <w:spacing w:before="108" w:after="108"/>
              <w:rPr>
                <w:rFonts w:ascii="Times New Roman" w:hAnsi="Times New Roman"/>
                <w:sz w:val="20"/>
              </w:rPr>
            </w:pPr>
            <w:r>
              <w:rPr>
                <w:rFonts w:ascii="Times New Roman" w:hAnsi="Times New Roman"/>
                <w:sz w:val="20"/>
              </w:rPr>
              <w:t>2</w:t>
            </w:r>
          </w:p>
        </w:tc>
        <w:tc>
          <w:tcPr>
            <w:tcW w:w="1060" w:type="pct"/>
            <w:tcBorders>
              <w:top w:val="single" w:sz="4" w:space="0" w:color="auto"/>
              <w:bottom w:val="nil"/>
            </w:tcBorders>
            <w:shd w:val="clear" w:color="auto" w:fill="auto"/>
            <w:vAlign w:val="center"/>
          </w:tcPr>
          <w:p w:rsidR="0055216E" w:rsidRDefault="00954509">
            <w:pPr>
              <w:pStyle w:val="TAC"/>
              <w:spacing w:before="108" w:after="108"/>
              <w:rPr>
                <w:rFonts w:ascii="Times New Roman" w:hAnsi="Times New Roman"/>
                <w:sz w:val="20"/>
              </w:rPr>
            </w:pPr>
            <w:r>
              <w:rPr>
                <w:rFonts w:ascii="Times New Roman" w:hAnsi="Times New Roman"/>
                <w:sz w:val="20"/>
              </w:rPr>
              <w:t>120</w:t>
            </w:r>
          </w:p>
        </w:tc>
        <w:tc>
          <w:tcPr>
            <w:tcW w:w="1062" w:type="pct"/>
          </w:tcPr>
          <w:p w:rsidR="0055216E" w:rsidRDefault="00954509">
            <w:pPr>
              <w:pStyle w:val="TAC"/>
              <w:spacing w:before="108" w:after="108"/>
              <w:rPr>
                <w:rFonts w:ascii="Times New Roman" w:hAnsi="Times New Roman"/>
                <w:sz w:val="20"/>
              </w:rPr>
            </w:pPr>
            <w:r>
              <w:rPr>
                <w:rFonts w:ascii="Times New Roman" w:hAnsi="Times New Roman"/>
                <w:sz w:val="20"/>
              </w:rPr>
              <w:t>60</w:t>
            </w:r>
          </w:p>
        </w:tc>
        <w:tc>
          <w:tcPr>
            <w:tcW w:w="2003" w:type="pct"/>
          </w:tcPr>
          <w:p w:rsidR="0055216E" w:rsidRDefault="00954509">
            <w:pPr>
              <w:pStyle w:val="TAC"/>
              <w:spacing w:before="108" w:after="108"/>
              <w:rPr>
                <w:rFonts w:ascii="Times New Roman" w:hAnsi="Times New Roman"/>
                <w:sz w:val="20"/>
              </w:rPr>
            </w:pPr>
            <w:r>
              <w:rPr>
                <w:rFonts w:ascii="Times New Roman" w:hAnsi="Times New Roman"/>
                <w:sz w:val="20"/>
              </w:rPr>
              <w:t>3.5*64*T</w:t>
            </w:r>
            <w:r>
              <w:rPr>
                <w:rFonts w:ascii="Times New Roman" w:hAnsi="Times New Roman"/>
                <w:sz w:val="20"/>
                <w:vertAlign w:val="subscript"/>
              </w:rPr>
              <w:t>c</w:t>
            </w:r>
            <w:r>
              <w:rPr>
                <w:rFonts w:ascii="Times New Roman" w:eastAsia="宋体" w:hAnsi="Times New Roman"/>
                <w:sz w:val="20"/>
                <w:lang w:eastAsia="zh-CN"/>
              </w:rPr>
              <w:t xml:space="preserve"> (114.0 ns)</w:t>
            </w:r>
          </w:p>
        </w:tc>
      </w:tr>
      <w:tr w:rsidR="0055216E">
        <w:trPr>
          <w:cantSplit/>
          <w:jc w:val="center"/>
        </w:trPr>
        <w:tc>
          <w:tcPr>
            <w:tcW w:w="874" w:type="pct"/>
            <w:tcBorders>
              <w:top w:val="nil"/>
              <w:bottom w:val="nil"/>
            </w:tcBorders>
            <w:shd w:val="clear" w:color="auto" w:fill="auto"/>
            <w:vAlign w:val="center"/>
          </w:tcPr>
          <w:p w:rsidR="0055216E" w:rsidRDefault="0055216E">
            <w:pPr>
              <w:pStyle w:val="TAC"/>
              <w:spacing w:before="108" w:after="108"/>
              <w:rPr>
                <w:rFonts w:ascii="Times New Roman" w:hAnsi="Times New Roman"/>
                <w:sz w:val="20"/>
              </w:rPr>
            </w:pPr>
          </w:p>
        </w:tc>
        <w:tc>
          <w:tcPr>
            <w:tcW w:w="1060" w:type="pct"/>
            <w:tcBorders>
              <w:top w:val="nil"/>
              <w:bottom w:val="single" w:sz="4" w:space="0" w:color="auto"/>
            </w:tcBorders>
            <w:shd w:val="clear" w:color="auto" w:fill="auto"/>
            <w:vAlign w:val="center"/>
          </w:tcPr>
          <w:p w:rsidR="0055216E" w:rsidRDefault="0055216E">
            <w:pPr>
              <w:pStyle w:val="TAC"/>
              <w:spacing w:before="108" w:after="108"/>
              <w:rPr>
                <w:rFonts w:ascii="Times New Roman" w:hAnsi="Times New Roman"/>
                <w:sz w:val="20"/>
              </w:rPr>
            </w:pPr>
          </w:p>
        </w:tc>
        <w:tc>
          <w:tcPr>
            <w:tcW w:w="1062" w:type="pct"/>
          </w:tcPr>
          <w:p w:rsidR="0055216E" w:rsidRDefault="00954509">
            <w:pPr>
              <w:pStyle w:val="TAC"/>
              <w:spacing w:before="108" w:after="108"/>
              <w:rPr>
                <w:rFonts w:ascii="Times New Roman" w:hAnsi="Times New Roman"/>
                <w:sz w:val="20"/>
              </w:rPr>
            </w:pPr>
            <w:r>
              <w:rPr>
                <w:rFonts w:ascii="Times New Roman" w:hAnsi="Times New Roman"/>
                <w:sz w:val="20"/>
              </w:rPr>
              <w:t>120</w:t>
            </w:r>
          </w:p>
        </w:tc>
        <w:tc>
          <w:tcPr>
            <w:tcW w:w="2003" w:type="pct"/>
          </w:tcPr>
          <w:p w:rsidR="0055216E" w:rsidRDefault="00954509">
            <w:pPr>
              <w:pStyle w:val="TAC"/>
              <w:spacing w:before="108" w:after="108"/>
              <w:rPr>
                <w:rFonts w:ascii="Times New Roman" w:hAnsi="Times New Roman"/>
                <w:sz w:val="20"/>
              </w:rPr>
            </w:pPr>
            <w:r>
              <w:rPr>
                <w:rFonts w:ascii="Times New Roman" w:hAnsi="Times New Roman"/>
                <w:sz w:val="20"/>
              </w:rPr>
              <w:t>3.5*64*T</w:t>
            </w:r>
            <w:r>
              <w:rPr>
                <w:rFonts w:ascii="Times New Roman" w:hAnsi="Times New Roman"/>
                <w:sz w:val="20"/>
                <w:vertAlign w:val="subscript"/>
              </w:rPr>
              <w:t>c</w:t>
            </w:r>
            <w:r>
              <w:rPr>
                <w:rFonts w:ascii="Times New Roman" w:eastAsia="宋体" w:hAnsi="Times New Roman"/>
                <w:sz w:val="20"/>
                <w:lang w:eastAsia="zh-CN"/>
              </w:rPr>
              <w:t xml:space="preserve"> (114.0 ns)</w:t>
            </w:r>
          </w:p>
        </w:tc>
      </w:tr>
      <w:tr w:rsidR="0055216E">
        <w:trPr>
          <w:cantSplit/>
          <w:jc w:val="center"/>
        </w:trPr>
        <w:tc>
          <w:tcPr>
            <w:tcW w:w="5000" w:type="pct"/>
            <w:gridSpan w:val="4"/>
          </w:tcPr>
          <w:p w:rsidR="0055216E" w:rsidRDefault="00954509">
            <w:pPr>
              <w:pStyle w:val="TAN"/>
              <w:spacing w:before="108" w:after="108"/>
              <w:rPr>
                <w:rFonts w:ascii="Times New Roman" w:hAnsi="Times New Roman"/>
                <w:sz w:val="20"/>
              </w:rPr>
            </w:pPr>
            <w:r>
              <w:rPr>
                <w:rFonts w:ascii="Times New Roman" w:hAnsi="Times New Roman"/>
                <w:sz w:val="20"/>
              </w:rPr>
              <w:t>Note 1:</w:t>
            </w:r>
            <w:r>
              <w:rPr>
                <w:rFonts w:ascii="Times New Roman" w:eastAsia="宋体" w:hAnsi="Times New Roman" w:hint="eastAsia"/>
                <w:sz w:val="20"/>
                <w:lang w:eastAsia="zh-CN"/>
              </w:rPr>
              <w:t xml:space="preserve"> </w:t>
            </w:r>
            <w:r>
              <w:rPr>
                <w:rFonts w:ascii="Times New Roman" w:hAnsi="Times New Roman"/>
                <w:sz w:val="20"/>
              </w:rPr>
              <w:t>T</w:t>
            </w:r>
            <w:r>
              <w:rPr>
                <w:rFonts w:ascii="Times New Roman" w:hAnsi="Times New Roman"/>
                <w:sz w:val="20"/>
                <w:vertAlign w:val="subscript"/>
              </w:rPr>
              <w:t>c</w:t>
            </w:r>
            <w:r>
              <w:rPr>
                <w:rFonts w:ascii="Times New Roman" w:hAnsi="Times New Roman"/>
                <w:sz w:val="20"/>
              </w:rPr>
              <w:t xml:space="preserve"> is the basic timing unit defined in TS 38.211</w:t>
            </w:r>
          </w:p>
          <w:p w:rsidR="0055216E" w:rsidRDefault="00954509">
            <w:pPr>
              <w:pStyle w:val="TAN"/>
              <w:spacing w:before="108" w:after="108"/>
              <w:rPr>
                <w:rFonts w:ascii="Times New Roman" w:hAnsi="Times New Roman"/>
                <w:sz w:val="20"/>
              </w:rPr>
            </w:pPr>
            <w:r>
              <w:rPr>
                <w:rFonts w:ascii="Times New Roman" w:hAnsi="Times New Roman"/>
                <w:sz w:val="20"/>
              </w:rPr>
              <w:t xml:space="preserve">Note </w:t>
            </w:r>
            <w:r>
              <w:rPr>
                <w:rFonts w:ascii="Times New Roman" w:eastAsia="宋体" w:hAnsi="Times New Roman"/>
                <w:sz w:val="20"/>
                <w:lang w:eastAsia="zh-CN"/>
              </w:rPr>
              <w:t>2</w:t>
            </w:r>
            <w:r>
              <w:rPr>
                <w:rFonts w:ascii="Times New Roman" w:hAnsi="Times New Roman"/>
                <w:sz w:val="20"/>
              </w:rPr>
              <w:t>:</w:t>
            </w:r>
            <w:r>
              <w:rPr>
                <w:rFonts w:ascii="Times New Roman" w:eastAsia="宋体" w:hAnsi="Times New Roman" w:hint="eastAsia"/>
                <w:sz w:val="20"/>
                <w:lang w:eastAsia="zh-CN"/>
              </w:rPr>
              <w:t xml:space="preserve"> </w:t>
            </w:r>
            <w:r>
              <w:rPr>
                <w:rFonts w:ascii="Times New Roman" w:eastAsia="宋体" w:hAnsi="Times New Roman"/>
                <w:sz w:val="20"/>
                <w:lang w:eastAsia="zh-CN"/>
              </w:rPr>
              <w:t xml:space="preserve">Other cases of timing error limit </w:t>
            </w:r>
            <w:proofErr w:type="spellStart"/>
            <w:r>
              <w:rPr>
                <w:rFonts w:ascii="Times New Roman" w:eastAsia="宋体" w:hAnsi="Times New Roman"/>
                <w:sz w:val="20"/>
                <w:lang w:eastAsia="zh-CN"/>
              </w:rPr>
              <w:t>T</w:t>
            </w:r>
            <w:r>
              <w:rPr>
                <w:rFonts w:ascii="Times New Roman" w:eastAsia="宋体" w:hAnsi="Times New Roman"/>
                <w:sz w:val="20"/>
                <w:vertAlign w:val="subscript"/>
                <w:lang w:eastAsia="zh-CN"/>
              </w:rPr>
              <w:t>e</w:t>
            </w:r>
            <w:proofErr w:type="spellEnd"/>
            <w:r>
              <w:rPr>
                <w:rFonts w:ascii="Times New Roman" w:eastAsia="宋体" w:hAnsi="Times New Roman"/>
                <w:sz w:val="20"/>
                <w:lang w:eastAsia="zh-CN"/>
              </w:rPr>
              <w:t xml:space="preserve"> are provided in Table 7.1.2-1 in TS 38.133</w:t>
            </w:r>
          </w:p>
        </w:tc>
      </w:tr>
    </w:tbl>
    <w:p w:rsidR="0055216E" w:rsidRDefault="00954509">
      <w:pPr>
        <w:adjustRightInd w:val="0"/>
        <w:spacing w:beforeLines="50" w:before="180" w:beforeAutospacing="0" w:after="180"/>
        <w:jc w:val="both"/>
        <w:rPr>
          <w:rFonts w:eastAsia="宋体"/>
          <w:i/>
          <w:iCs/>
          <w:szCs w:val="20"/>
        </w:rPr>
      </w:pPr>
      <w:r>
        <w:rPr>
          <w:rFonts w:eastAsia="宋体" w:hint="eastAsia"/>
          <w:b/>
          <w:bCs/>
          <w:i/>
          <w:iCs/>
          <w:szCs w:val="20"/>
        </w:rPr>
        <w:t>Observation 1:</w:t>
      </w:r>
      <w:r>
        <w:rPr>
          <w:rFonts w:eastAsia="宋体" w:hint="eastAsia"/>
          <w:i/>
          <w:iCs/>
          <w:szCs w:val="20"/>
        </w:rPr>
        <w:t xml:space="preserve"> In asymmetric UL sTRP/DL mTRP scenario, uplink propagation delay difference between macro and micro nodes is mandatory to be met the timing error limit </w:t>
      </w:r>
      <w:proofErr w:type="spellStart"/>
      <w:r>
        <w:rPr>
          <w:rFonts w:eastAsia="宋体" w:hint="eastAsia"/>
          <w:i/>
          <w:iCs/>
          <w:szCs w:val="20"/>
        </w:rPr>
        <w:t>T</w:t>
      </w:r>
      <w:r>
        <w:rPr>
          <w:rFonts w:eastAsia="宋体" w:hint="eastAsia"/>
          <w:i/>
          <w:iCs/>
          <w:szCs w:val="20"/>
          <w:vertAlign w:val="subscript"/>
        </w:rPr>
        <w:t>e</w:t>
      </w:r>
      <w:proofErr w:type="spellEnd"/>
      <w:r>
        <w:rPr>
          <w:rFonts w:eastAsia="宋体" w:hint="eastAsia"/>
          <w:i/>
          <w:iCs/>
          <w:szCs w:val="20"/>
        </w:rPr>
        <w:t xml:space="preserve"> as specified in TS 38.133.</w:t>
      </w:r>
    </w:p>
    <w:p w:rsidR="0055216E" w:rsidRDefault="00954509">
      <w:pPr>
        <w:adjustRightInd w:val="0"/>
        <w:spacing w:beforeLines="50" w:before="180" w:beforeAutospacing="0" w:after="180"/>
        <w:jc w:val="both"/>
        <w:rPr>
          <w:szCs w:val="20"/>
        </w:rPr>
      </w:pPr>
      <w:r>
        <w:rPr>
          <w:rFonts w:eastAsia="宋体" w:hint="eastAsia"/>
          <w:szCs w:val="20"/>
        </w:rPr>
        <w:t xml:space="preserve">Correspondingly, system-level simulation is performed to evaluate the uplink propagation delay difference between macro and micro nodes in asymmetric UL sTRP/ DL mTRP scenarios. In this simulation, the distribution of macro and micro nodes is depicted in Figure </w:t>
      </w:r>
      <w:r>
        <w:rPr>
          <w:rFonts w:eastAsia="宋体"/>
          <w:szCs w:val="20"/>
        </w:rPr>
        <w:t>1</w:t>
      </w:r>
      <w:r>
        <w:rPr>
          <w:rFonts w:eastAsia="宋体" w:hint="eastAsia"/>
          <w:szCs w:val="20"/>
        </w:rPr>
        <w:t xml:space="preserve">. Wherein, micro nodes are allocated at the cell-edge of macro node with ideal synchronization assumption, and ISD of macro nodes is set to 500m@FR1 and 200m@FR2, respectively. Besides, the UE can transmit uplink transmission towards micro nodes depending on network scheduling, and uplink propagation delay difference is calculated based on the clusters with </w:t>
      </w:r>
      <w:r>
        <w:rPr>
          <w:rFonts w:eastAsia="宋体"/>
          <w:szCs w:val="20"/>
        </w:rPr>
        <w:t>peak</w:t>
      </w:r>
      <w:r>
        <w:rPr>
          <w:rFonts w:eastAsia="宋体" w:hint="eastAsia"/>
          <w:szCs w:val="20"/>
        </w:rPr>
        <w:t xml:space="preserve"> power in both macro and micro nodes. The detailed simulation parameters </w:t>
      </w:r>
      <w:r>
        <w:rPr>
          <w:rFonts w:eastAsia="宋体"/>
          <w:szCs w:val="20"/>
        </w:rPr>
        <w:t>can be found in our previous contribution [</w:t>
      </w:r>
      <w:r>
        <w:rPr>
          <w:rFonts w:eastAsia="宋体" w:hint="eastAsia"/>
          <w:szCs w:val="20"/>
        </w:rPr>
        <w:t>4</w:t>
      </w:r>
      <w:r>
        <w:rPr>
          <w:rFonts w:eastAsia="宋体"/>
          <w:szCs w:val="20"/>
        </w:rPr>
        <w:t>]</w:t>
      </w:r>
      <w:r>
        <w:rPr>
          <w:rFonts w:eastAsia="宋体" w:hint="eastAsia"/>
          <w:szCs w:val="20"/>
        </w:rPr>
        <w:t>.</w:t>
      </w:r>
    </w:p>
    <w:p w:rsidR="0055216E" w:rsidRDefault="00954509">
      <w:pPr>
        <w:adjustRightInd w:val="0"/>
        <w:spacing w:after="180"/>
        <w:jc w:val="center"/>
        <w:rPr>
          <w:rFonts w:eastAsia="宋体"/>
          <w:sz w:val="22"/>
          <w:szCs w:val="22"/>
        </w:rPr>
      </w:pPr>
      <w:r>
        <w:rPr>
          <w:rFonts w:eastAsia="宋体" w:hint="eastAsia"/>
          <w:noProof/>
          <w:sz w:val="22"/>
          <w:szCs w:val="22"/>
        </w:rPr>
        <w:drawing>
          <wp:inline distT="0" distB="0" distL="114300" distR="114300">
            <wp:extent cx="3165475" cy="3067685"/>
            <wp:effectExtent l="0" t="0" r="4445" b="10795"/>
            <wp:docPr id="3" name="图片 3" descr="Fi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ig 4"/>
                    <pic:cNvPicPr>
                      <a:picLocks noChangeAspect="1"/>
                    </pic:cNvPicPr>
                  </pic:nvPicPr>
                  <pic:blipFill>
                    <a:blip r:embed="rId9"/>
                    <a:stretch>
                      <a:fillRect/>
                    </a:stretch>
                  </pic:blipFill>
                  <pic:spPr>
                    <a:xfrm>
                      <a:off x="0" y="0"/>
                      <a:ext cx="3165475" cy="3067685"/>
                    </a:xfrm>
                    <a:prstGeom prst="rect">
                      <a:avLst/>
                    </a:prstGeom>
                  </pic:spPr>
                </pic:pic>
              </a:graphicData>
            </a:graphic>
          </wp:inline>
        </w:drawing>
      </w:r>
    </w:p>
    <w:p w:rsidR="0055216E" w:rsidRDefault="00954509">
      <w:pPr>
        <w:adjustRightInd w:val="0"/>
        <w:spacing w:after="180"/>
        <w:jc w:val="center"/>
        <w:rPr>
          <w:rFonts w:eastAsia="宋体"/>
          <w:szCs w:val="20"/>
        </w:rPr>
      </w:pPr>
      <w:r>
        <w:rPr>
          <w:rFonts w:eastAsia="宋体" w:hint="eastAsia"/>
          <w:b/>
          <w:bCs/>
          <w:szCs w:val="20"/>
        </w:rPr>
        <w:t xml:space="preserve">Figure </w:t>
      </w:r>
      <w:r>
        <w:rPr>
          <w:rFonts w:eastAsia="宋体"/>
          <w:b/>
          <w:bCs/>
          <w:szCs w:val="20"/>
        </w:rPr>
        <w:t>1</w:t>
      </w:r>
      <w:r>
        <w:rPr>
          <w:rFonts w:eastAsia="宋体" w:hint="eastAsia"/>
          <w:szCs w:val="20"/>
        </w:rPr>
        <w:tab/>
        <w:t>Distribution of macro and micro nodes in SLS of asymmetric DL sTRP/UL mTRP scenarios</w:t>
      </w:r>
    </w:p>
    <w:p w:rsidR="0055216E" w:rsidRDefault="00954509">
      <w:pPr>
        <w:adjustRightInd w:val="0"/>
        <w:spacing w:beforeLines="50" w:before="180" w:beforeAutospacing="0" w:after="180"/>
        <w:jc w:val="both"/>
        <w:rPr>
          <w:rFonts w:eastAsia="宋体"/>
          <w:szCs w:val="20"/>
        </w:rPr>
      </w:pPr>
      <w:r>
        <w:rPr>
          <w:rFonts w:eastAsia="宋体" w:hint="eastAsia"/>
          <w:szCs w:val="20"/>
        </w:rPr>
        <w:lastRenderedPageBreak/>
        <w:t>To investigate the impact of uplink propagation delay difference between macro and micro nodes in both FR1 and FR2, the following two cases are evaluated under the above asymmetric DL sTRP/ UL mTRP scenario:</w:t>
      </w:r>
    </w:p>
    <w:p w:rsidR="0055216E" w:rsidRDefault="00954509">
      <w:pPr>
        <w:numPr>
          <w:ilvl w:val="0"/>
          <w:numId w:val="8"/>
        </w:numPr>
        <w:adjustRightInd w:val="0"/>
        <w:spacing w:beforeAutospacing="0" w:afterLines="0" w:after="0"/>
        <w:jc w:val="both"/>
        <w:rPr>
          <w:rFonts w:eastAsia="宋体"/>
          <w:szCs w:val="20"/>
        </w:rPr>
      </w:pPr>
      <w:r>
        <w:rPr>
          <w:rFonts w:eastAsia="宋体" w:hint="eastAsia"/>
          <w:szCs w:val="20"/>
        </w:rPr>
        <w:t xml:space="preserve">Case 1: Uplink propagation delay difference between macro and micro nodes in FR1@SCS = 30kHz, ISD = 500m, </w:t>
      </w:r>
      <w:proofErr w:type="spellStart"/>
      <w:r>
        <w:rPr>
          <w:rFonts w:eastAsia="宋体" w:hint="eastAsia"/>
          <w:szCs w:val="20"/>
        </w:rPr>
        <w:t>T</w:t>
      </w:r>
      <w:r>
        <w:rPr>
          <w:rFonts w:eastAsia="宋体" w:hint="eastAsia"/>
          <w:szCs w:val="20"/>
          <w:vertAlign w:val="subscript"/>
        </w:rPr>
        <w:t>e</w:t>
      </w:r>
      <w:proofErr w:type="spellEnd"/>
      <w:r>
        <w:rPr>
          <w:rFonts w:eastAsia="宋体" w:hint="eastAsia"/>
          <w:szCs w:val="20"/>
        </w:rPr>
        <w:t xml:space="preserve"> = </w:t>
      </w:r>
      <w:r>
        <w:rPr>
          <w:rFonts w:eastAsia="宋体"/>
          <w:szCs w:val="20"/>
        </w:rPr>
        <w:t>260.6ns</w:t>
      </w:r>
      <w:r>
        <w:rPr>
          <w:rFonts w:eastAsia="宋体" w:hint="eastAsia"/>
          <w:szCs w:val="20"/>
        </w:rPr>
        <w:t>.</w:t>
      </w:r>
    </w:p>
    <w:p w:rsidR="0055216E" w:rsidRDefault="00954509">
      <w:pPr>
        <w:numPr>
          <w:ilvl w:val="0"/>
          <w:numId w:val="8"/>
        </w:numPr>
        <w:adjustRightInd w:val="0"/>
        <w:spacing w:beforeAutospacing="0" w:afterLines="0" w:after="0"/>
        <w:jc w:val="both"/>
        <w:rPr>
          <w:rFonts w:eastAsia="宋体"/>
          <w:szCs w:val="20"/>
        </w:rPr>
      </w:pPr>
      <w:r>
        <w:rPr>
          <w:rFonts w:eastAsia="宋体" w:hint="eastAsia"/>
          <w:szCs w:val="20"/>
        </w:rPr>
        <w:t xml:space="preserve">Case 2: Uplink propagation delay difference between macro and micro nodes in FR2@SCS = 120kHz, ISD = 200m, </w:t>
      </w:r>
      <w:proofErr w:type="spellStart"/>
      <w:r>
        <w:rPr>
          <w:rFonts w:eastAsia="宋体" w:hint="eastAsia"/>
          <w:szCs w:val="20"/>
        </w:rPr>
        <w:t>T</w:t>
      </w:r>
      <w:r>
        <w:rPr>
          <w:rFonts w:eastAsia="宋体" w:hint="eastAsia"/>
          <w:szCs w:val="20"/>
          <w:vertAlign w:val="subscript"/>
        </w:rPr>
        <w:t>e</w:t>
      </w:r>
      <w:proofErr w:type="spellEnd"/>
      <w:r>
        <w:rPr>
          <w:rFonts w:eastAsia="宋体" w:hint="eastAsia"/>
          <w:szCs w:val="20"/>
        </w:rPr>
        <w:t xml:space="preserve"> = 114</w:t>
      </w:r>
      <w:r>
        <w:rPr>
          <w:rFonts w:eastAsia="宋体"/>
          <w:szCs w:val="20"/>
        </w:rPr>
        <w:t>.</w:t>
      </w:r>
      <w:r>
        <w:rPr>
          <w:rFonts w:eastAsia="宋体" w:hint="eastAsia"/>
          <w:szCs w:val="20"/>
        </w:rPr>
        <w:t>0</w:t>
      </w:r>
      <w:r>
        <w:rPr>
          <w:rFonts w:eastAsia="宋体"/>
          <w:szCs w:val="20"/>
        </w:rPr>
        <w:t>ns</w:t>
      </w:r>
      <w:r>
        <w:rPr>
          <w:rFonts w:eastAsia="宋体" w:hint="eastAsia"/>
          <w:szCs w:val="20"/>
        </w:rPr>
        <w:t>.</w:t>
      </w:r>
    </w:p>
    <w:p w:rsidR="0055216E" w:rsidRDefault="00954509">
      <w:pPr>
        <w:adjustRightInd w:val="0"/>
        <w:spacing w:beforeLines="50" w:before="180" w:beforeAutospacing="0" w:after="180"/>
        <w:jc w:val="both"/>
        <w:rPr>
          <w:rFonts w:eastAsia="宋体"/>
          <w:szCs w:val="20"/>
        </w:rPr>
      </w:pPr>
      <w:r>
        <w:rPr>
          <w:rFonts w:eastAsia="宋体" w:hint="eastAsia"/>
          <w:szCs w:val="20"/>
        </w:rPr>
        <w:t xml:space="preserve">As the simulation results provided in Figure </w:t>
      </w:r>
      <w:r>
        <w:rPr>
          <w:rFonts w:eastAsia="宋体"/>
          <w:szCs w:val="20"/>
        </w:rPr>
        <w:t>2</w:t>
      </w:r>
      <w:r>
        <w:rPr>
          <w:rFonts w:eastAsia="宋体" w:hint="eastAsia"/>
          <w:szCs w:val="20"/>
        </w:rPr>
        <w:t xml:space="preserve">, it can be observed that the uplink propagation delay difference of ~70% UE cannot meet the timing error limit </w:t>
      </w:r>
      <w:proofErr w:type="spellStart"/>
      <w:r>
        <w:rPr>
          <w:rFonts w:eastAsia="宋体" w:hint="eastAsia"/>
          <w:szCs w:val="20"/>
        </w:rPr>
        <w:t>T</w:t>
      </w:r>
      <w:r>
        <w:rPr>
          <w:rFonts w:eastAsia="宋体" w:hint="eastAsia"/>
          <w:szCs w:val="20"/>
          <w:vertAlign w:val="subscript"/>
        </w:rPr>
        <w:t>e</w:t>
      </w:r>
      <w:proofErr w:type="spellEnd"/>
      <w:r>
        <w:rPr>
          <w:rFonts w:eastAsia="宋体" w:hint="eastAsia"/>
          <w:szCs w:val="20"/>
        </w:rPr>
        <w:t xml:space="preserve"> in both Case-1@FR1 and Case-2@FR2, in where only one single TAG is used in asymmetric DL sTRP/ UL mTRP scenario. In this sense, it will negatively lead to that the performance of the vast majority of uplink transmissions cannot be guaranteed or the network has to deploy more dense micro nodes. Consequently, it will drastically impair the practical deployment of asymmetric DL sTRP/ UL mTRP scenarios.</w:t>
      </w:r>
    </w:p>
    <w:p w:rsidR="0055216E" w:rsidRDefault="00954509">
      <w:pPr>
        <w:adjustRightInd w:val="0"/>
        <w:spacing w:after="180"/>
        <w:jc w:val="center"/>
        <w:rPr>
          <w:sz w:val="22"/>
          <w:szCs w:val="22"/>
        </w:rPr>
      </w:pPr>
      <w:r>
        <w:rPr>
          <w:noProof/>
          <w:sz w:val="22"/>
          <w:szCs w:val="22"/>
        </w:rPr>
        <w:drawing>
          <wp:inline distT="0" distB="0" distL="114300" distR="114300">
            <wp:extent cx="3723005" cy="2538730"/>
            <wp:effectExtent l="0" t="0" r="1079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3723005" cy="2538730"/>
                    </a:xfrm>
                    <a:prstGeom prst="rect">
                      <a:avLst/>
                    </a:prstGeom>
                    <a:noFill/>
                    <a:ln>
                      <a:noFill/>
                    </a:ln>
                  </pic:spPr>
                </pic:pic>
              </a:graphicData>
            </a:graphic>
          </wp:inline>
        </w:drawing>
      </w:r>
    </w:p>
    <w:p w:rsidR="0055216E" w:rsidRDefault="00954509">
      <w:pPr>
        <w:adjustRightInd w:val="0"/>
        <w:spacing w:after="180"/>
        <w:jc w:val="center"/>
        <w:rPr>
          <w:rFonts w:eastAsia="宋体"/>
          <w:szCs w:val="20"/>
        </w:rPr>
      </w:pPr>
      <w:r>
        <w:rPr>
          <w:rFonts w:eastAsia="宋体" w:hint="eastAsia"/>
          <w:b/>
          <w:bCs/>
          <w:szCs w:val="20"/>
        </w:rPr>
        <w:t xml:space="preserve">Figure </w:t>
      </w:r>
      <w:r>
        <w:rPr>
          <w:rFonts w:eastAsia="宋体"/>
          <w:b/>
          <w:bCs/>
          <w:szCs w:val="20"/>
        </w:rPr>
        <w:t>2</w:t>
      </w:r>
      <w:r>
        <w:rPr>
          <w:rFonts w:eastAsia="宋体" w:hint="eastAsia"/>
          <w:szCs w:val="20"/>
        </w:rPr>
        <w:tab/>
        <w:t>SLS results of uplink propagation delay difference between macro and micro nodes in asymmetric DL sTRP/ UL mTRP scenario</w:t>
      </w:r>
    </w:p>
    <w:p w:rsidR="0055216E" w:rsidRDefault="00954509">
      <w:pPr>
        <w:adjustRightInd w:val="0"/>
        <w:spacing w:beforeLines="50" w:before="180" w:beforeAutospacing="0" w:after="180"/>
        <w:jc w:val="both"/>
        <w:rPr>
          <w:rFonts w:eastAsia="宋体"/>
          <w:i/>
          <w:iCs/>
          <w:szCs w:val="20"/>
        </w:rPr>
      </w:pPr>
      <w:r>
        <w:rPr>
          <w:rFonts w:eastAsia="宋体" w:hint="eastAsia"/>
          <w:b/>
          <w:bCs/>
          <w:i/>
          <w:iCs/>
          <w:szCs w:val="20"/>
        </w:rPr>
        <w:t xml:space="preserve">Observation 2: </w:t>
      </w:r>
      <w:r>
        <w:rPr>
          <w:rFonts w:eastAsia="宋体" w:hint="eastAsia"/>
          <w:i/>
          <w:iCs/>
          <w:szCs w:val="20"/>
        </w:rPr>
        <w:t xml:space="preserve">In asymmetric UL sTRP/ DL mTRP scenarios applied with one single TAG, uplink propagation delay difference between macro and micro nodes of ~70% UE cannot meet the timing error limit </w:t>
      </w:r>
      <w:proofErr w:type="spellStart"/>
      <w:r>
        <w:rPr>
          <w:rFonts w:eastAsia="宋体" w:hint="eastAsia"/>
          <w:i/>
          <w:iCs/>
          <w:szCs w:val="20"/>
        </w:rPr>
        <w:t>T</w:t>
      </w:r>
      <w:r>
        <w:rPr>
          <w:rFonts w:eastAsia="宋体" w:hint="eastAsia"/>
          <w:i/>
          <w:iCs/>
          <w:szCs w:val="20"/>
          <w:vertAlign w:val="subscript"/>
        </w:rPr>
        <w:t>e</w:t>
      </w:r>
      <w:proofErr w:type="spellEnd"/>
      <w:r>
        <w:rPr>
          <w:rFonts w:eastAsia="宋体" w:hint="eastAsia"/>
          <w:i/>
          <w:iCs/>
          <w:szCs w:val="20"/>
        </w:rPr>
        <w:t xml:space="preserve"> in both FR1 and FR2. As a result, it will negatively lead to that the performance of the vast majority of uplink transmissions cannot be guaranteed or the network has to deploy more dense micro nodes.</w:t>
      </w:r>
    </w:p>
    <w:p w:rsidR="0055216E" w:rsidRDefault="00954509">
      <w:pPr>
        <w:pStyle w:val="1"/>
        <w:keepNext/>
        <w:tabs>
          <w:tab w:val="left" w:pos="3686"/>
          <w:tab w:val="left" w:pos="4536"/>
        </w:tabs>
        <w:spacing w:beforeLines="100" w:before="360" w:after="180" w:line="240" w:lineRule="auto"/>
        <w:textAlignment w:val="baseline"/>
        <w:rPr>
          <w:lang w:val="en-US"/>
        </w:rPr>
      </w:pPr>
      <w:r>
        <w:rPr>
          <w:rFonts w:hint="eastAsia"/>
          <w:lang w:val="en-US"/>
        </w:rPr>
        <w:t>Two separate closed loops for SRS</w:t>
      </w:r>
    </w:p>
    <w:p w:rsidR="0055216E" w:rsidRDefault="00954509">
      <w:pPr>
        <w:adjustRightInd w:val="0"/>
        <w:spacing w:beforeLines="50" w:before="180" w:beforeAutospacing="0" w:after="180"/>
        <w:jc w:val="both"/>
        <w:rPr>
          <w:rFonts w:eastAsia="宋体"/>
          <w:szCs w:val="20"/>
        </w:rPr>
      </w:pPr>
      <w:r>
        <w:rPr>
          <w:rFonts w:eastAsia="宋体"/>
          <w:szCs w:val="20"/>
        </w:rPr>
        <w:t>In RAN1#117 meeting, the following agreements were reached for the issue of supporting two separate SRS CLPC adjustment states [</w:t>
      </w:r>
      <w:r>
        <w:rPr>
          <w:rFonts w:eastAsia="宋体" w:hint="eastAsia"/>
          <w:szCs w:val="20"/>
        </w:rPr>
        <w:t>2</w:t>
      </w:r>
      <w:r>
        <w:rPr>
          <w:rFonts w:eastAsia="宋体"/>
          <w:szCs w:val="20"/>
        </w:rPr>
        <w:t>].</w:t>
      </w:r>
    </w:p>
    <w:tbl>
      <w:tblPr>
        <w:tblStyle w:val="afc"/>
        <w:tblW w:w="0" w:type="auto"/>
        <w:tblInd w:w="-5" w:type="dxa"/>
        <w:tblLook w:val="04A0" w:firstRow="1" w:lastRow="0" w:firstColumn="1" w:lastColumn="0" w:noHBand="0" w:noVBand="1"/>
      </w:tblPr>
      <w:tblGrid>
        <w:gridCol w:w="9355"/>
      </w:tblGrid>
      <w:tr w:rsidR="0055216E" w:rsidTr="003374DD">
        <w:tc>
          <w:tcPr>
            <w:tcW w:w="9355" w:type="dxa"/>
          </w:tcPr>
          <w:p w:rsidR="0055216E" w:rsidRDefault="00954509">
            <w:pPr>
              <w:spacing w:beforeAutospacing="0" w:afterLines="0" w:after="0"/>
              <w:rPr>
                <w:rFonts w:eastAsia="等线"/>
                <w:b/>
                <w:bCs/>
                <w:szCs w:val="20"/>
                <w:lang w:val="en-GB"/>
              </w:rPr>
            </w:pPr>
            <w:r>
              <w:rPr>
                <w:rFonts w:eastAsia="等线"/>
                <w:b/>
                <w:bCs/>
                <w:szCs w:val="20"/>
                <w:highlight w:val="green"/>
                <w:lang w:val="en-GB"/>
              </w:rPr>
              <w:t>Agreement</w:t>
            </w:r>
          </w:p>
          <w:p w:rsidR="0055216E" w:rsidRDefault="00954509">
            <w:pPr>
              <w:spacing w:beforeAutospacing="0" w:afterLines="0" w:after="0"/>
              <w:rPr>
                <w:rFonts w:eastAsia="等线"/>
                <w:szCs w:val="20"/>
                <w:lang w:val="en-CA" w:eastAsia="en-US"/>
              </w:rPr>
            </w:pPr>
            <w:r>
              <w:rPr>
                <w:rFonts w:eastAsia="等线"/>
                <w:szCs w:val="20"/>
                <w:lang w:val="en-CA" w:eastAsia="en-US"/>
              </w:rPr>
              <w:t>In Rel-19, the value range of starting bit of block in DCI format 2-3 is extended from 1~31 to 1~X.</w:t>
            </w:r>
          </w:p>
          <w:p w:rsidR="0055216E" w:rsidRDefault="00954509">
            <w:pPr>
              <w:numPr>
                <w:ilvl w:val="0"/>
                <w:numId w:val="9"/>
              </w:numPr>
              <w:spacing w:beforeAutospacing="0" w:afterLines="0" w:after="0"/>
              <w:jc w:val="both"/>
              <w:rPr>
                <w:rFonts w:eastAsia="等线"/>
                <w:szCs w:val="20"/>
                <w:lang w:val="en-CA" w:eastAsia="en-US"/>
              </w:rPr>
            </w:pPr>
            <w:r>
              <w:rPr>
                <w:rFonts w:eastAsia="等线"/>
                <w:szCs w:val="20"/>
                <w:lang w:val="en-CA" w:eastAsia="en-US"/>
              </w:rPr>
              <w:t>FFS the value of X&gt;31</w:t>
            </w:r>
          </w:p>
          <w:p w:rsidR="0055216E" w:rsidRDefault="00954509">
            <w:pPr>
              <w:tabs>
                <w:tab w:val="left" w:pos="643"/>
              </w:tabs>
              <w:spacing w:beforeAutospacing="0" w:afterLines="0" w:after="0"/>
              <w:jc w:val="both"/>
              <w:rPr>
                <w:rFonts w:eastAsia="等线"/>
                <w:szCs w:val="20"/>
                <w:lang w:val="en-CA" w:eastAsia="en-US"/>
              </w:rPr>
            </w:pPr>
            <w:r>
              <w:rPr>
                <w:rFonts w:eastAsia="Malgun Gothic"/>
                <w:szCs w:val="20"/>
                <w:lang w:val="en-CA" w:eastAsia="ko-KR"/>
              </w:rPr>
              <w:t>FFS: Condition under which the above is applicable</w:t>
            </w:r>
          </w:p>
          <w:p w:rsidR="0055216E" w:rsidRDefault="0055216E">
            <w:pPr>
              <w:spacing w:beforeAutospacing="0" w:afterLines="0" w:after="0"/>
              <w:rPr>
                <w:rFonts w:eastAsia="Batang"/>
                <w:szCs w:val="20"/>
                <w:lang w:val="en-GB" w:eastAsia="en-US"/>
              </w:rPr>
            </w:pPr>
          </w:p>
          <w:p w:rsidR="0055216E" w:rsidRDefault="00954509">
            <w:pPr>
              <w:spacing w:beforeAutospacing="0" w:afterLines="0" w:after="0"/>
              <w:rPr>
                <w:rFonts w:eastAsia="等线"/>
                <w:b/>
                <w:bCs/>
                <w:szCs w:val="20"/>
                <w:lang w:val="en-GB"/>
              </w:rPr>
            </w:pPr>
            <w:r>
              <w:rPr>
                <w:rFonts w:eastAsia="等线"/>
                <w:b/>
                <w:bCs/>
                <w:szCs w:val="20"/>
                <w:highlight w:val="green"/>
                <w:lang w:val="en-GB"/>
              </w:rPr>
              <w:t>Agreement</w:t>
            </w:r>
          </w:p>
          <w:p w:rsidR="0055216E" w:rsidRDefault="00954509">
            <w:pPr>
              <w:spacing w:beforeAutospacing="0" w:afterLines="0" w:after="0"/>
              <w:rPr>
                <w:rFonts w:eastAsia="等线"/>
                <w:szCs w:val="20"/>
                <w:lang w:val="en-CA" w:eastAsia="en-US"/>
              </w:rPr>
            </w:pPr>
            <w:r>
              <w:rPr>
                <w:rFonts w:eastAsia="等线"/>
                <w:szCs w:val="20"/>
                <w:lang w:val="en-CA" w:eastAsia="en-US"/>
              </w:rPr>
              <w:t>Introduce a new RRC parameter per BWP/CC to indicate that two separate SRS CLPC adjustment states are configured for SRS in a BWP/CC</w:t>
            </w:r>
          </w:p>
        </w:tc>
      </w:tr>
    </w:tbl>
    <w:p w:rsidR="0055216E" w:rsidRDefault="00954509">
      <w:pPr>
        <w:adjustRightInd w:val="0"/>
        <w:spacing w:beforeLines="50" w:before="180" w:beforeAutospacing="0" w:afterLines="0" w:after="0"/>
        <w:jc w:val="both"/>
        <w:rPr>
          <w:rFonts w:eastAsia="宋体"/>
          <w:szCs w:val="20"/>
        </w:rPr>
      </w:pPr>
      <w:r>
        <w:rPr>
          <w:rFonts w:eastAsia="宋体"/>
          <w:szCs w:val="20"/>
        </w:rPr>
        <w:lastRenderedPageBreak/>
        <w:t>Regarding the value of X&gt;31</w:t>
      </w:r>
      <w:r>
        <w:rPr>
          <w:rFonts w:eastAsia="宋体" w:hint="eastAsia"/>
          <w:szCs w:val="20"/>
        </w:rPr>
        <w:t xml:space="preserve"> </w:t>
      </w:r>
      <w:r>
        <w:rPr>
          <w:rFonts w:eastAsia="宋体"/>
          <w:szCs w:val="20"/>
        </w:rPr>
        <w:t xml:space="preserve">for starting bit position of a block in DCI format 2_3, basically, the condition should be that two separate CLPC adjustment states are configured in a BWP/CC due to it is dedicated to Rel-19 UE. </w:t>
      </w:r>
    </w:p>
    <w:p w:rsidR="0055216E" w:rsidRDefault="00954509">
      <w:pPr>
        <w:adjustRightInd w:val="0"/>
        <w:spacing w:beforeLines="50" w:before="180" w:beforeAutospacing="0" w:afterLines="0" w:after="0"/>
        <w:jc w:val="both"/>
        <w:rPr>
          <w:rFonts w:eastAsia="宋体"/>
          <w:szCs w:val="20"/>
        </w:rPr>
      </w:pPr>
      <w:r>
        <w:rPr>
          <w:rFonts w:eastAsia="宋体"/>
          <w:szCs w:val="20"/>
        </w:rPr>
        <w:t xml:space="preserve">Generally, the value of X should be equal to the upper bound of DCI format 2_3 minus the minimum payload size of </w:t>
      </w:r>
      <w:r w:rsidR="00554D6C">
        <w:rPr>
          <w:rFonts w:eastAsia="宋体"/>
          <w:szCs w:val="20"/>
        </w:rPr>
        <w:t>the last</w:t>
      </w:r>
      <w:r w:rsidR="00AD030E">
        <w:rPr>
          <w:rFonts w:eastAsia="宋体"/>
          <w:szCs w:val="20"/>
        </w:rPr>
        <w:t xml:space="preserve"> </w:t>
      </w:r>
      <w:r>
        <w:rPr>
          <w:rFonts w:eastAsia="宋体"/>
          <w:szCs w:val="20"/>
        </w:rPr>
        <w:t>block in DCI format 2_3 for the UE that configured with two separate SRS CLPC adjustment states. More precisely,</w:t>
      </w:r>
    </w:p>
    <w:p w:rsidR="0055216E" w:rsidRDefault="00954509">
      <w:pPr>
        <w:pStyle w:val="aff2"/>
        <w:numPr>
          <w:ilvl w:val="0"/>
          <w:numId w:val="10"/>
        </w:numPr>
        <w:spacing w:beforeLines="0" w:before="0" w:afterLines="0" w:after="0" w:line="240" w:lineRule="auto"/>
        <w:ind w:leftChars="0"/>
        <w:rPr>
          <w:rFonts w:ascii="Times New Roman" w:eastAsia="宋体" w:hAnsi="Times New Roman"/>
          <w:szCs w:val="20"/>
        </w:rPr>
      </w:pPr>
      <w:r>
        <w:rPr>
          <w:rFonts w:ascii="Times New Roman" w:eastAsia="宋体" w:hAnsi="Times New Roman"/>
          <w:szCs w:val="20"/>
        </w:rPr>
        <w:t>For the upper bound of DCI format 2_3, the legacy rule should be reused that it is the payload size of DCI format 1_0 monitored in common search space in the same serving cell, which is a variable range (i.e., 4</w:t>
      </w:r>
      <w:r w:rsidR="00002AE2">
        <w:rPr>
          <w:rFonts w:ascii="Times New Roman" w:eastAsia="宋体" w:hAnsi="Times New Roman"/>
          <w:szCs w:val="20"/>
        </w:rPr>
        <w:t>3</w:t>
      </w:r>
      <w:r>
        <w:rPr>
          <w:rFonts w:ascii="Times New Roman" w:eastAsia="宋体" w:hAnsi="Times New Roman"/>
          <w:szCs w:val="20"/>
        </w:rPr>
        <w:t xml:space="preserve">~46 bits) depends on the specific configuration. </w:t>
      </w:r>
    </w:p>
    <w:p w:rsidR="0055216E" w:rsidRDefault="00954509">
      <w:pPr>
        <w:pStyle w:val="aff2"/>
        <w:numPr>
          <w:ilvl w:val="0"/>
          <w:numId w:val="10"/>
        </w:numPr>
        <w:spacing w:beforeLines="0" w:before="0" w:afterLines="0" w:after="0" w:line="240" w:lineRule="auto"/>
        <w:ind w:leftChars="0"/>
        <w:rPr>
          <w:rFonts w:ascii="Times New Roman" w:eastAsia="宋体" w:hAnsi="Times New Roman"/>
          <w:szCs w:val="20"/>
        </w:rPr>
      </w:pPr>
      <w:r>
        <w:rPr>
          <w:rFonts w:ascii="Times New Roman" w:eastAsia="宋体" w:hAnsi="Times New Roman"/>
          <w:szCs w:val="20"/>
        </w:rPr>
        <w:t xml:space="preserve">For the minimum payload size of </w:t>
      </w:r>
      <w:r w:rsidR="00E00D71">
        <w:rPr>
          <w:rFonts w:ascii="Times New Roman" w:eastAsia="宋体" w:hAnsi="Times New Roman"/>
          <w:szCs w:val="20"/>
        </w:rPr>
        <w:t>the last</w:t>
      </w:r>
      <w:r>
        <w:rPr>
          <w:rFonts w:ascii="Times New Roman" w:eastAsia="宋体" w:hAnsi="Times New Roman"/>
          <w:szCs w:val="20"/>
        </w:rPr>
        <w:t xml:space="preserve"> block in DCI format 2_3, it should be 3 bits that including 2-bit TPC command field and 1-bit closed-loop indicator field. </w:t>
      </w:r>
    </w:p>
    <w:p w:rsidR="0055216E" w:rsidRDefault="00954509">
      <w:pPr>
        <w:adjustRightInd w:val="0"/>
        <w:spacing w:beforeLines="50" w:before="180" w:beforeAutospacing="0" w:afterLines="0" w:after="0"/>
        <w:jc w:val="both"/>
        <w:rPr>
          <w:rFonts w:eastAsia="宋体"/>
          <w:i/>
          <w:iCs/>
          <w:szCs w:val="20"/>
        </w:rPr>
      </w:pPr>
      <w:r>
        <w:rPr>
          <w:rFonts w:eastAsia="宋体"/>
          <w:b/>
          <w:bCs/>
          <w:i/>
          <w:iCs/>
          <w:szCs w:val="20"/>
        </w:rPr>
        <w:t>Proposal 1:</w:t>
      </w:r>
      <w:r>
        <w:rPr>
          <w:rFonts w:eastAsia="宋体"/>
          <w:i/>
          <w:iCs/>
          <w:szCs w:val="20"/>
        </w:rPr>
        <w:t xml:space="preserve"> For the value of X&gt;31 with regard to starting bit position of a block in DCI format 2_3, it can be enabled only when two separate SRS CLPC adjustment states are configured in a BWP/CC.</w:t>
      </w:r>
    </w:p>
    <w:p w:rsidR="0055216E" w:rsidRDefault="00954509">
      <w:pPr>
        <w:pStyle w:val="aff2"/>
        <w:numPr>
          <w:ilvl w:val="0"/>
          <w:numId w:val="11"/>
        </w:numPr>
        <w:spacing w:beforeLines="0" w:before="0" w:afterLines="0" w:after="0"/>
        <w:ind w:leftChars="0" w:left="357" w:hanging="357"/>
        <w:rPr>
          <w:rFonts w:ascii="Times New Roman" w:eastAsia="等线" w:hAnsi="Times New Roman"/>
          <w:i/>
          <w:szCs w:val="20"/>
          <w:lang w:eastAsia="en-US"/>
        </w:rPr>
      </w:pPr>
      <w:r>
        <w:rPr>
          <w:rFonts w:ascii="Times New Roman" w:eastAsia="宋体" w:hAnsi="Times New Roman"/>
          <w:i/>
          <w:iCs/>
          <w:szCs w:val="20"/>
          <w:lang w:val="en-US"/>
        </w:rPr>
        <w:t>T</w:t>
      </w:r>
      <w:r>
        <w:rPr>
          <w:rFonts w:ascii="Times New Roman" w:eastAsia="宋体" w:hAnsi="Times New Roman"/>
          <w:i/>
          <w:iCs/>
          <w:szCs w:val="20"/>
        </w:rPr>
        <w:t xml:space="preserve">he value of X&gt;31 can be up to the maximum payload size of DCI format 1_0 that monitored in the serving cell (i.e., variable value depends on the specific RRC configuration) minus the minimum payload size of </w:t>
      </w:r>
      <w:r w:rsidR="009B2F6E">
        <w:rPr>
          <w:rFonts w:ascii="Times New Roman" w:eastAsia="宋体" w:hAnsi="Times New Roman"/>
          <w:i/>
          <w:iCs/>
          <w:szCs w:val="20"/>
        </w:rPr>
        <w:t>the last</w:t>
      </w:r>
      <w:r>
        <w:rPr>
          <w:rFonts w:ascii="Times New Roman" w:eastAsia="宋体" w:hAnsi="Times New Roman"/>
          <w:i/>
          <w:iCs/>
          <w:szCs w:val="20"/>
        </w:rPr>
        <w:t xml:space="preserve"> block in DCI format 2_3 for the UE (i.e., 3 bits that including a 2-bit TPC command field and a 1-bit closed-loop indicator field)</w:t>
      </w:r>
      <w:r>
        <w:rPr>
          <w:rFonts w:ascii="Times New Roman" w:eastAsia="等线" w:hAnsi="Times New Roman"/>
          <w:i/>
          <w:szCs w:val="20"/>
          <w:lang w:eastAsia="en-US"/>
        </w:rPr>
        <w:t>.</w:t>
      </w:r>
    </w:p>
    <w:p w:rsidR="0055216E" w:rsidRDefault="00954509" w:rsidP="00493CF3">
      <w:pPr>
        <w:adjustRightInd w:val="0"/>
        <w:spacing w:beforeLines="50" w:before="180" w:beforeAutospacing="0" w:afterLines="0" w:after="0"/>
        <w:jc w:val="both"/>
        <w:rPr>
          <w:rFonts w:eastAsia="宋体"/>
          <w:szCs w:val="20"/>
        </w:rPr>
      </w:pPr>
      <w:r>
        <w:rPr>
          <w:rFonts w:eastAsia="宋体"/>
          <w:szCs w:val="20"/>
        </w:rPr>
        <w:t xml:space="preserve">Regarding the necessity of supporting indicate TPC command for SRS CLPC adjustment states by DCI format 1_1 and/or 0_1, we think it is needed </w:t>
      </w:r>
      <w:r>
        <w:rPr>
          <w:rFonts w:eastAsia="宋体" w:hint="eastAsia"/>
          <w:szCs w:val="20"/>
        </w:rPr>
        <w:t>based on</w:t>
      </w:r>
      <w:r>
        <w:rPr>
          <w:rFonts w:eastAsia="宋体"/>
          <w:szCs w:val="20"/>
        </w:rPr>
        <w:t xml:space="preserve"> the following considerations: </w:t>
      </w:r>
    </w:p>
    <w:p w:rsidR="0055216E" w:rsidRDefault="00954509" w:rsidP="00493CF3">
      <w:pPr>
        <w:pStyle w:val="aff2"/>
        <w:numPr>
          <w:ilvl w:val="0"/>
          <w:numId w:val="10"/>
        </w:numPr>
        <w:spacing w:beforeLines="0" w:before="0" w:afterLines="0" w:after="0" w:line="240" w:lineRule="auto"/>
        <w:ind w:leftChars="0"/>
        <w:rPr>
          <w:rFonts w:ascii="Times New Roman" w:eastAsia="宋体" w:hAnsi="Times New Roman"/>
          <w:szCs w:val="20"/>
        </w:rPr>
      </w:pPr>
      <w:r>
        <w:rPr>
          <w:rFonts w:ascii="Times New Roman" w:eastAsia="宋体" w:hAnsi="Times New Roman" w:hint="eastAsia"/>
          <w:szCs w:val="20"/>
          <w:lang w:val="en-US"/>
        </w:rPr>
        <w:t xml:space="preserve">As per the following excerpt in TS 38.212, it is worth noting that the maximum number of different DCI sizes to be monitored by the UE is limited to four while up to three different DCI sizes with C-RNTI can be monitored by the UE in a cell. As a result, only one DCI format scrambled by RNTI other than C-RNTI can be monitored by the UE. Owing to a total of nine types of DCI formats 2_x </w:t>
      </w:r>
      <w:r w:rsidR="00F01DA2">
        <w:rPr>
          <w:rFonts w:ascii="Times New Roman" w:eastAsia="宋体" w:hAnsi="Times New Roman"/>
          <w:szCs w:val="20"/>
          <w:lang w:val="en-US"/>
        </w:rPr>
        <w:t>has</w:t>
      </w:r>
      <w:r>
        <w:rPr>
          <w:rFonts w:ascii="Times New Roman" w:eastAsia="宋体" w:hAnsi="Times New Roman" w:hint="eastAsia"/>
          <w:szCs w:val="20"/>
          <w:lang w:val="en-US"/>
        </w:rPr>
        <w:t xml:space="preserve"> been specified for different functionalities so far, solely rely on DCI format 2_3 may tremendously limit the flexibility of NW scheduling and negatively impact the practicability of </w:t>
      </w:r>
      <w:r>
        <w:rPr>
          <w:rFonts w:ascii="Times New Roman" w:eastAsia="宋体" w:hAnsi="Times New Roman"/>
          <w:szCs w:val="20"/>
        </w:rPr>
        <w:t xml:space="preserve">TPC command </w:t>
      </w:r>
      <w:r>
        <w:rPr>
          <w:rFonts w:ascii="Times New Roman" w:eastAsia="宋体" w:hAnsi="Times New Roman" w:hint="eastAsia"/>
          <w:szCs w:val="20"/>
          <w:lang w:val="en-US"/>
        </w:rPr>
        <w:t xml:space="preserve">indication </w:t>
      </w:r>
      <w:r>
        <w:rPr>
          <w:rFonts w:ascii="Times New Roman" w:eastAsia="宋体" w:hAnsi="Times New Roman"/>
          <w:szCs w:val="20"/>
        </w:rPr>
        <w:t xml:space="preserve">for </w:t>
      </w:r>
      <w:r>
        <w:rPr>
          <w:rFonts w:ascii="Times New Roman" w:eastAsia="宋体" w:hAnsi="Times New Roman" w:hint="eastAsia"/>
          <w:szCs w:val="20"/>
          <w:lang w:val="en-US"/>
        </w:rPr>
        <w:t xml:space="preserve">the UE configured with two separated </w:t>
      </w:r>
      <w:r>
        <w:rPr>
          <w:rFonts w:ascii="Times New Roman" w:eastAsia="宋体" w:hAnsi="Times New Roman"/>
          <w:szCs w:val="20"/>
        </w:rPr>
        <w:t>SRS CLPC adjustment states</w:t>
      </w:r>
      <w:r>
        <w:rPr>
          <w:rFonts w:ascii="Times New Roman" w:eastAsia="宋体" w:hAnsi="Times New Roman" w:hint="eastAsia"/>
          <w:szCs w:val="20"/>
          <w:lang w:val="en-US"/>
        </w:rPr>
        <w:t>. In this sense, it indeed is meaningful and practical to support DCI format</w:t>
      </w:r>
      <w:r w:rsidR="00667661">
        <w:rPr>
          <w:rFonts w:ascii="Times New Roman" w:eastAsia="宋体" w:hAnsi="Times New Roman"/>
          <w:szCs w:val="20"/>
          <w:lang w:val="en-US"/>
        </w:rPr>
        <w:t>s</w:t>
      </w:r>
      <w:r>
        <w:rPr>
          <w:rFonts w:ascii="Times New Roman" w:eastAsia="宋体" w:hAnsi="Times New Roman" w:hint="eastAsia"/>
          <w:szCs w:val="20"/>
          <w:lang w:val="en-US"/>
        </w:rPr>
        <w:t xml:space="preserve"> 1_1 and DCI format 0_1 additionally.</w:t>
      </w:r>
    </w:p>
    <w:p w:rsidR="0055216E" w:rsidRDefault="00954509">
      <w:pPr>
        <w:pStyle w:val="aff2"/>
        <w:numPr>
          <w:ilvl w:val="0"/>
          <w:numId w:val="12"/>
        </w:numPr>
        <w:spacing w:before="108" w:afterLines="0" w:after="0" w:line="240" w:lineRule="auto"/>
        <w:ind w:leftChars="0" w:left="839"/>
        <w:rPr>
          <w:rFonts w:ascii="Times New Roman" w:eastAsia="宋体" w:hAnsi="Times New Roman"/>
          <w:b/>
          <w:bCs/>
          <w:szCs w:val="20"/>
          <w:lang w:val="en-US"/>
        </w:rPr>
      </w:pPr>
      <w:r>
        <w:rPr>
          <w:rFonts w:ascii="Times New Roman" w:eastAsia="宋体" w:hAnsi="Times New Roman" w:hint="eastAsia"/>
          <w:b/>
          <w:bCs/>
          <w:szCs w:val="20"/>
          <w:lang w:val="en-US"/>
        </w:rPr>
        <w:t>TS 38.212</w:t>
      </w:r>
    </w:p>
    <w:tbl>
      <w:tblPr>
        <w:tblStyle w:val="afc"/>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8"/>
      </w:tblGrid>
      <w:tr w:rsidR="0055216E">
        <w:tc>
          <w:tcPr>
            <w:tcW w:w="9064" w:type="dxa"/>
          </w:tcPr>
          <w:p w:rsidR="0055216E" w:rsidRDefault="00954509">
            <w:pPr>
              <w:pStyle w:val="4"/>
              <w:numPr>
                <w:ilvl w:val="2"/>
                <w:numId w:val="0"/>
              </w:numPr>
              <w:tabs>
                <w:tab w:val="left" w:pos="851"/>
              </w:tabs>
              <w:spacing w:before="180" w:after="180"/>
            </w:pPr>
            <w:bookmarkStart w:id="1" w:name="_Toc146188101"/>
            <w:bookmarkStart w:id="2" w:name="_Toc169509710"/>
            <w:r>
              <w:rPr>
                <w:rFonts w:hint="eastAsia"/>
              </w:rPr>
              <w:lastRenderedPageBreak/>
              <w:t>7.3.1.0</w:t>
            </w:r>
            <w:r>
              <w:rPr>
                <w:rFonts w:hint="eastAsia"/>
              </w:rPr>
              <w:tab/>
              <w:t xml:space="preserve">DCI </w:t>
            </w:r>
            <w:r>
              <w:t>size alignment</w:t>
            </w:r>
            <w:bookmarkEnd w:id="1"/>
            <w:bookmarkEnd w:id="2"/>
          </w:p>
          <w:p w:rsidR="0055216E" w:rsidRDefault="00954509">
            <w:pPr>
              <w:pStyle w:val="aff2"/>
              <w:spacing w:beforeLines="0" w:before="0" w:afterLines="0" w:after="0" w:line="240" w:lineRule="auto"/>
              <w:ind w:leftChars="0" w:left="0"/>
              <w:jc w:val="center"/>
              <w:rPr>
                <w:rFonts w:ascii="Times New Roman" w:eastAsia="宋体" w:hAnsi="Times New Roman"/>
                <w:color w:val="FF0000"/>
                <w:szCs w:val="20"/>
                <w:lang w:val="en-US"/>
              </w:rPr>
            </w:pPr>
            <w:r>
              <w:rPr>
                <w:rFonts w:ascii="Times New Roman" w:eastAsia="宋体" w:hAnsi="Times New Roman" w:hint="eastAsia"/>
                <w:color w:val="FF0000"/>
                <w:szCs w:val="20"/>
                <w:lang w:val="en-US"/>
              </w:rPr>
              <w:t>&lt;Unrelated parts are omitted&gt;</w:t>
            </w:r>
          </w:p>
          <w:p w:rsidR="0055216E" w:rsidRDefault="00954509">
            <w:pPr>
              <w:overflowPunct w:val="0"/>
              <w:autoSpaceDE w:val="0"/>
              <w:autoSpaceDN w:val="0"/>
              <w:adjustRightInd w:val="0"/>
              <w:spacing w:beforeAutospacing="0" w:afterLines="0" w:after="180"/>
              <w:textAlignment w:val="baseline"/>
              <w:rPr>
                <w:rFonts w:eastAsia="等线"/>
                <w:szCs w:val="20"/>
                <w:lang w:val="en-GB"/>
              </w:rPr>
            </w:pPr>
            <w:r>
              <w:rPr>
                <w:rFonts w:eastAsia="等线"/>
                <w:szCs w:val="20"/>
                <w:lang w:val="en-GB"/>
              </w:rPr>
              <w:t>Step 3:</w:t>
            </w:r>
          </w:p>
          <w:p w:rsidR="0055216E" w:rsidRDefault="00954509">
            <w:pPr>
              <w:overflowPunct w:val="0"/>
              <w:autoSpaceDE w:val="0"/>
              <w:autoSpaceDN w:val="0"/>
              <w:adjustRightInd w:val="0"/>
              <w:spacing w:after="180"/>
              <w:ind w:left="568" w:hanging="284"/>
              <w:textAlignment w:val="baseline"/>
              <w:rPr>
                <w:rFonts w:eastAsia="等线"/>
                <w:lang w:val="en-GB"/>
              </w:rPr>
            </w:pPr>
            <w:r>
              <w:rPr>
                <w:rFonts w:eastAsia="等线"/>
                <w:lang w:val="en-GB"/>
              </w:rPr>
              <w:t>-</w:t>
            </w:r>
            <w:r>
              <w:rPr>
                <w:rFonts w:eastAsia="等线"/>
                <w:lang w:val="en-GB"/>
              </w:rPr>
              <w:tab/>
              <w:t>If both of the following conditions are fulfilled the size alignment procedure is complete</w:t>
            </w:r>
          </w:p>
          <w:p w:rsidR="0055216E" w:rsidRDefault="00954509">
            <w:pPr>
              <w:overflowPunct w:val="0"/>
              <w:autoSpaceDE w:val="0"/>
              <w:autoSpaceDN w:val="0"/>
              <w:adjustRightInd w:val="0"/>
              <w:spacing w:after="180"/>
              <w:ind w:left="851" w:hanging="284"/>
              <w:textAlignment w:val="baseline"/>
              <w:rPr>
                <w:rFonts w:eastAsia="等线"/>
                <w:lang w:val="en-GB"/>
              </w:rPr>
            </w:pPr>
            <w:r>
              <w:rPr>
                <w:rFonts w:eastAsia="等线"/>
                <w:lang w:val="en-GB"/>
              </w:rPr>
              <w:t>-</w:t>
            </w:r>
            <w:r>
              <w:rPr>
                <w:rFonts w:eastAsia="等线"/>
                <w:lang w:val="en-GB"/>
              </w:rPr>
              <w:tab/>
              <w:t xml:space="preserve">the total number of different DCI sizes configured to monitor is no more than 4 for the cell </w:t>
            </w:r>
          </w:p>
          <w:p w:rsidR="0055216E" w:rsidRDefault="00954509">
            <w:pPr>
              <w:overflowPunct w:val="0"/>
              <w:autoSpaceDE w:val="0"/>
              <w:autoSpaceDN w:val="0"/>
              <w:adjustRightInd w:val="0"/>
              <w:spacing w:after="180"/>
              <w:ind w:left="851" w:hanging="284"/>
              <w:textAlignment w:val="baseline"/>
              <w:rPr>
                <w:rFonts w:eastAsia="等线"/>
                <w:lang w:val="en-GB"/>
              </w:rPr>
            </w:pPr>
            <w:r>
              <w:rPr>
                <w:rFonts w:eastAsia="等线"/>
                <w:lang w:val="en-GB"/>
              </w:rPr>
              <w:t>-</w:t>
            </w:r>
            <w:r>
              <w:rPr>
                <w:rFonts w:eastAsia="等线"/>
                <w:lang w:val="en-GB"/>
              </w:rPr>
              <w:tab/>
              <w:t>the total number of different DCI sizes with C-RNTI configured to monitor is no more than 3 for the cell</w:t>
            </w:r>
          </w:p>
          <w:p w:rsidR="0055216E" w:rsidRDefault="00954509">
            <w:pPr>
              <w:pStyle w:val="aff2"/>
              <w:spacing w:before="108" w:after="108" w:line="240" w:lineRule="auto"/>
              <w:ind w:leftChars="0" w:left="0"/>
              <w:jc w:val="center"/>
              <w:rPr>
                <w:rFonts w:ascii="Times New Roman" w:eastAsia="宋体" w:hAnsi="Times New Roman"/>
                <w:color w:val="FF0000"/>
                <w:szCs w:val="20"/>
                <w:lang w:val="en-US"/>
              </w:rPr>
            </w:pPr>
            <w:r>
              <w:rPr>
                <w:rFonts w:ascii="Times New Roman" w:eastAsia="宋体" w:hAnsi="Times New Roman" w:hint="eastAsia"/>
                <w:color w:val="FF0000"/>
                <w:szCs w:val="20"/>
                <w:lang w:val="en-US"/>
              </w:rPr>
              <w:t>&lt;Unrelated parts are omitted&gt;</w:t>
            </w:r>
          </w:p>
          <w:p w:rsidR="0055216E" w:rsidRDefault="00954509">
            <w:pPr>
              <w:keepNext/>
              <w:keepLines/>
              <w:overflowPunct w:val="0"/>
              <w:autoSpaceDE w:val="0"/>
              <w:autoSpaceDN w:val="0"/>
              <w:adjustRightInd w:val="0"/>
              <w:spacing w:beforeAutospacing="0" w:afterLines="0" w:after="180"/>
              <w:textAlignment w:val="baseline"/>
              <w:rPr>
                <w:rFonts w:eastAsia="等线"/>
                <w:szCs w:val="20"/>
                <w:lang w:val="en-GB" w:eastAsia="en-US"/>
              </w:rPr>
            </w:pPr>
            <w:r>
              <w:rPr>
                <w:rFonts w:eastAsia="等线"/>
                <w:szCs w:val="20"/>
                <w:lang w:val="en-GB" w:eastAsia="en-US"/>
              </w:rPr>
              <w:t>The UE is not expected to handle a configuration that, after applying the above steps, results in</w:t>
            </w:r>
          </w:p>
          <w:p w:rsidR="0055216E" w:rsidRDefault="00954509">
            <w:pPr>
              <w:overflowPunct w:val="0"/>
              <w:autoSpaceDE w:val="0"/>
              <w:autoSpaceDN w:val="0"/>
              <w:adjustRightInd w:val="0"/>
              <w:spacing w:after="180"/>
              <w:ind w:left="568" w:hanging="284"/>
              <w:textAlignment w:val="baseline"/>
              <w:rPr>
                <w:rFonts w:eastAsia="等线"/>
                <w:lang w:val="en-GB"/>
              </w:rPr>
            </w:pPr>
            <w:r>
              <w:rPr>
                <w:rFonts w:eastAsia="等线"/>
                <w:lang w:val="en-GB" w:eastAsia="en-US"/>
              </w:rPr>
              <w:t>-</w:t>
            </w:r>
            <w:r>
              <w:rPr>
                <w:rFonts w:eastAsia="等线"/>
                <w:lang w:val="en-GB" w:eastAsia="en-US"/>
              </w:rPr>
              <w:tab/>
            </w:r>
            <w:r>
              <w:rPr>
                <w:rFonts w:eastAsia="等线"/>
                <w:lang w:val="en-GB"/>
              </w:rPr>
              <w:t>the total number of different DCI sizes configured to monitor is more than 4 for the cell; or</w:t>
            </w:r>
          </w:p>
          <w:p w:rsidR="0055216E" w:rsidRDefault="00954509">
            <w:pPr>
              <w:overflowPunct w:val="0"/>
              <w:autoSpaceDE w:val="0"/>
              <w:autoSpaceDN w:val="0"/>
              <w:adjustRightInd w:val="0"/>
              <w:spacing w:after="180"/>
              <w:ind w:left="568" w:hanging="284"/>
              <w:textAlignment w:val="baseline"/>
              <w:rPr>
                <w:rFonts w:eastAsia="等线"/>
                <w:lang w:val="en-GB"/>
              </w:rPr>
            </w:pPr>
            <w:r>
              <w:rPr>
                <w:rFonts w:eastAsia="等线"/>
                <w:lang w:val="en-GB"/>
              </w:rPr>
              <w:t>-</w:t>
            </w:r>
            <w:r>
              <w:rPr>
                <w:rFonts w:eastAsia="等线"/>
                <w:lang w:val="en-GB"/>
              </w:rPr>
              <w:tab/>
              <w:t>the total number of different DCI sizes with C-RNTI configured to monitor is more than 3 for the cell; or</w:t>
            </w:r>
          </w:p>
          <w:p w:rsidR="0055216E" w:rsidRDefault="00954509">
            <w:pPr>
              <w:pStyle w:val="aff2"/>
              <w:spacing w:before="108" w:after="108" w:line="240" w:lineRule="auto"/>
              <w:ind w:leftChars="0" w:left="0"/>
              <w:jc w:val="center"/>
              <w:rPr>
                <w:rFonts w:ascii="Times New Roman" w:eastAsia="宋体" w:hAnsi="Times New Roman"/>
                <w:szCs w:val="20"/>
              </w:rPr>
            </w:pPr>
            <w:r>
              <w:rPr>
                <w:rFonts w:ascii="Times New Roman" w:eastAsia="宋体" w:hAnsi="Times New Roman" w:hint="eastAsia"/>
                <w:color w:val="FF0000"/>
                <w:szCs w:val="20"/>
                <w:lang w:val="en-US"/>
              </w:rPr>
              <w:t>&lt;Unrelated parts are omitted&gt;</w:t>
            </w:r>
          </w:p>
        </w:tc>
      </w:tr>
    </w:tbl>
    <w:p w:rsidR="0055216E" w:rsidRDefault="00954509">
      <w:pPr>
        <w:pStyle w:val="aff2"/>
        <w:numPr>
          <w:ilvl w:val="0"/>
          <w:numId w:val="10"/>
        </w:numPr>
        <w:spacing w:before="108" w:afterLines="0" w:after="0" w:line="240" w:lineRule="auto"/>
        <w:ind w:leftChars="0"/>
        <w:rPr>
          <w:rFonts w:ascii="Times New Roman" w:eastAsia="宋体" w:hAnsi="Times New Roman"/>
          <w:szCs w:val="20"/>
        </w:rPr>
      </w:pPr>
      <w:r>
        <w:rPr>
          <w:rFonts w:ascii="Times New Roman" w:eastAsia="宋体" w:hAnsi="Times New Roman"/>
          <w:szCs w:val="20"/>
        </w:rPr>
        <w:t xml:space="preserve">Given that DCI format 2_3 is mainly used for group-based indication of multiple UEs and </w:t>
      </w:r>
      <w:r>
        <w:rPr>
          <w:rFonts w:ascii="Times New Roman" w:eastAsia="宋体" w:hAnsi="Times New Roman" w:hint="eastAsia"/>
          <w:szCs w:val="20"/>
          <w:lang w:val="en-US"/>
        </w:rPr>
        <w:t>which</w:t>
      </w:r>
      <w:r>
        <w:rPr>
          <w:rFonts w:ascii="Times New Roman" w:eastAsia="宋体" w:hAnsi="Times New Roman"/>
          <w:szCs w:val="20"/>
        </w:rPr>
        <w:t xml:space="preserve"> is optional UE feature (i.e., FG 8-6), DCI format 1_1 and/or 0_1 is more flexible and feasible to be used over DCI format 2_3 when considering TPC command for SRS CLPC adjustment states is mainly indicated per UE.</w:t>
      </w:r>
    </w:p>
    <w:tbl>
      <w:tblPr>
        <w:tblStyle w:val="afc"/>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723"/>
        <w:gridCol w:w="1503"/>
        <w:gridCol w:w="2751"/>
        <w:gridCol w:w="2492"/>
      </w:tblGrid>
      <w:tr w:rsidR="0055216E" w:rsidTr="00151699">
        <w:tc>
          <w:tcPr>
            <w:tcW w:w="1460" w:type="dxa"/>
          </w:tcPr>
          <w:p w:rsidR="0055216E" w:rsidRDefault="00954509">
            <w:pPr>
              <w:pStyle w:val="aff2"/>
              <w:spacing w:before="108" w:after="108" w:line="240" w:lineRule="auto"/>
              <w:ind w:leftChars="0" w:left="0"/>
              <w:jc w:val="left"/>
              <w:rPr>
                <w:rFonts w:ascii="Arial" w:eastAsia="宋体" w:hAnsi="Arial" w:cs="Arial"/>
                <w:sz w:val="18"/>
                <w:szCs w:val="18"/>
              </w:rPr>
            </w:pPr>
            <w:r>
              <w:rPr>
                <w:rFonts w:ascii="Arial" w:hAnsi="Arial" w:cs="Arial"/>
                <w:sz w:val="18"/>
                <w:szCs w:val="18"/>
              </w:rPr>
              <w:t>8. UL TPC</w:t>
            </w:r>
          </w:p>
        </w:tc>
        <w:tc>
          <w:tcPr>
            <w:tcW w:w="723" w:type="dxa"/>
          </w:tcPr>
          <w:p w:rsidR="0055216E" w:rsidRDefault="00954509">
            <w:pPr>
              <w:pStyle w:val="TAL"/>
              <w:spacing w:before="108" w:after="108"/>
              <w:rPr>
                <w:rFonts w:cs="Arial"/>
                <w:szCs w:val="18"/>
              </w:rPr>
            </w:pPr>
            <w:r>
              <w:rPr>
                <w:rFonts w:cs="Arial"/>
                <w:szCs w:val="18"/>
              </w:rPr>
              <w:t>8-6</w:t>
            </w:r>
          </w:p>
        </w:tc>
        <w:tc>
          <w:tcPr>
            <w:tcW w:w="1503" w:type="dxa"/>
          </w:tcPr>
          <w:p w:rsidR="0055216E" w:rsidRDefault="00954509">
            <w:pPr>
              <w:pStyle w:val="TAL"/>
              <w:spacing w:before="108" w:after="108"/>
              <w:jc w:val="left"/>
              <w:rPr>
                <w:rFonts w:cs="Arial"/>
                <w:szCs w:val="18"/>
              </w:rPr>
            </w:pPr>
            <w:r>
              <w:rPr>
                <w:rFonts w:cs="Arial"/>
                <w:szCs w:val="18"/>
              </w:rPr>
              <w:t>TPC-SRS-RNTI</w:t>
            </w:r>
          </w:p>
        </w:tc>
        <w:tc>
          <w:tcPr>
            <w:tcW w:w="2751" w:type="dxa"/>
          </w:tcPr>
          <w:p w:rsidR="0055216E" w:rsidRDefault="00954509">
            <w:pPr>
              <w:pStyle w:val="TAL"/>
              <w:spacing w:before="108" w:after="108"/>
              <w:jc w:val="left"/>
              <w:rPr>
                <w:rFonts w:cs="Arial"/>
                <w:szCs w:val="18"/>
              </w:rPr>
            </w:pPr>
            <w:r>
              <w:rPr>
                <w:rFonts w:cs="Arial"/>
                <w:szCs w:val="18"/>
              </w:rPr>
              <w:t>Specific group DCI message for TPC commands for SRS</w:t>
            </w:r>
          </w:p>
        </w:tc>
        <w:tc>
          <w:tcPr>
            <w:tcW w:w="2492" w:type="dxa"/>
          </w:tcPr>
          <w:p w:rsidR="0055216E" w:rsidRDefault="00954509">
            <w:pPr>
              <w:pStyle w:val="aff2"/>
              <w:spacing w:before="108" w:after="108" w:line="240" w:lineRule="auto"/>
              <w:ind w:leftChars="0" w:left="0"/>
              <w:jc w:val="left"/>
              <w:rPr>
                <w:rFonts w:ascii="Arial" w:eastAsia="宋体" w:hAnsi="Arial" w:cs="Arial"/>
                <w:sz w:val="18"/>
                <w:szCs w:val="18"/>
              </w:rPr>
            </w:pPr>
            <w:r>
              <w:rPr>
                <w:rFonts w:ascii="Arial" w:hAnsi="Arial" w:cs="Arial"/>
                <w:sz w:val="18"/>
                <w:szCs w:val="18"/>
              </w:rPr>
              <w:t>Optional with capability signalling</w:t>
            </w:r>
          </w:p>
        </w:tc>
      </w:tr>
    </w:tbl>
    <w:p w:rsidR="0055216E" w:rsidRDefault="00954509">
      <w:pPr>
        <w:pStyle w:val="aff2"/>
        <w:numPr>
          <w:ilvl w:val="0"/>
          <w:numId w:val="10"/>
        </w:numPr>
        <w:spacing w:before="108" w:afterLines="0" w:after="0" w:line="240" w:lineRule="auto"/>
        <w:ind w:leftChars="0"/>
        <w:rPr>
          <w:rFonts w:ascii="Times New Roman" w:eastAsia="宋体" w:hAnsi="Times New Roman"/>
          <w:szCs w:val="20"/>
        </w:rPr>
      </w:pPr>
      <w:r>
        <w:rPr>
          <w:rFonts w:ascii="Times New Roman" w:eastAsia="宋体" w:hAnsi="Times New Roman"/>
          <w:szCs w:val="20"/>
        </w:rPr>
        <w:t>Note that the payload size of DCI 2_3 cannot be larger than that of DCI 1_0, the scheduling flexibility in terms of the maximum number of CCs per UE and the maximum number of blocks among multiple UEs may be negatively impacted. Consequently, DCI format</w:t>
      </w:r>
      <w:r w:rsidR="00A511D2">
        <w:rPr>
          <w:rFonts w:ascii="Times New Roman" w:eastAsia="宋体" w:hAnsi="Times New Roman"/>
          <w:szCs w:val="20"/>
        </w:rPr>
        <w:t>s</w:t>
      </w:r>
      <w:r>
        <w:rPr>
          <w:rFonts w:ascii="Times New Roman" w:eastAsia="宋体" w:hAnsi="Times New Roman"/>
          <w:szCs w:val="20"/>
        </w:rPr>
        <w:t xml:space="preserve"> 1_1 and 0_1 can be used as the backup for accommodation.</w:t>
      </w:r>
    </w:p>
    <w:p w:rsidR="0055216E" w:rsidRDefault="00954509">
      <w:pPr>
        <w:pStyle w:val="aff2"/>
        <w:numPr>
          <w:ilvl w:val="0"/>
          <w:numId w:val="10"/>
        </w:numPr>
        <w:spacing w:before="108" w:afterLines="0" w:after="0" w:line="240" w:lineRule="auto"/>
        <w:ind w:leftChars="0"/>
        <w:rPr>
          <w:rFonts w:ascii="Times New Roman" w:eastAsia="宋体" w:hAnsi="Times New Roman"/>
          <w:szCs w:val="20"/>
        </w:rPr>
      </w:pPr>
      <w:r>
        <w:rPr>
          <w:rFonts w:ascii="Times New Roman" w:eastAsia="宋体" w:hAnsi="Times New Roman"/>
          <w:szCs w:val="20"/>
        </w:rPr>
        <w:t>Compared to the legacy that DCI format 1_1 is to indicate TPC command for PUCCH transmission and DCI format 0_1 is to indicate TPC command for PUSCH transmission, no extra UE complexity is needed to support DCI format</w:t>
      </w:r>
      <w:r w:rsidR="00A511D2">
        <w:rPr>
          <w:rFonts w:ascii="Times New Roman" w:eastAsia="宋体" w:hAnsi="Times New Roman"/>
          <w:szCs w:val="20"/>
        </w:rPr>
        <w:t>s</w:t>
      </w:r>
      <w:r>
        <w:rPr>
          <w:rFonts w:ascii="Times New Roman" w:eastAsia="宋体" w:hAnsi="Times New Roman"/>
          <w:szCs w:val="20"/>
        </w:rPr>
        <w:t xml:space="preserve"> 0_1</w:t>
      </w:r>
      <w:r w:rsidR="00A511D2">
        <w:rPr>
          <w:rFonts w:ascii="Times New Roman" w:eastAsia="宋体" w:hAnsi="Times New Roman"/>
          <w:szCs w:val="20"/>
        </w:rPr>
        <w:t xml:space="preserve"> and </w:t>
      </w:r>
      <w:r>
        <w:rPr>
          <w:rFonts w:ascii="Times New Roman" w:eastAsia="宋体" w:hAnsi="Times New Roman"/>
          <w:szCs w:val="20"/>
        </w:rPr>
        <w:t>1_1 for indicating TPC command for SRS CLPC adjustment states.</w:t>
      </w:r>
    </w:p>
    <w:p w:rsidR="0055216E" w:rsidRDefault="00954509">
      <w:pPr>
        <w:adjustRightInd w:val="0"/>
        <w:spacing w:beforeLines="50" w:before="180" w:beforeAutospacing="0" w:after="180"/>
        <w:jc w:val="both"/>
        <w:rPr>
          <w:rFonts w:eastAsia="宋体"/>
          <w:szCs w:val="20"/>
        </w:rPr>
      </w:pPr>
      <w:r>
        <w:rPr>
          <w:rFonts w:eastAsia="宋体" w:hint="eastAsia"/>
          <w:szCs w:val="20"/>
        </w:rPr>
        <w:t>Subsequently, s</w:t>
      </w:r>
      <w:r>
        <w:rPr>
          <w:rFonts w:eastAsia="宋体"/>
          <w:szCs w:val="20"/>
        </w:rPr>
        <w:t xml:space="preserve">imilar to the </w:t>
      </w:r>
      <w:r>
        <w:rPr>
          <w:rFonts w:eastAsia="宋体" w:hint="eastAsia"/>
          <w:szCs w:val="20"/>
        </w:rPr>
        <w:t xml:space="preserve">reached </w:t>
      </w:r>
      <w:r>
        <w:rPr>
          <w:rFonts w:eastAsia="宋体"/>
          <w:szCs w:val="20"/>
        </w:rPr>
        <w:t xml:space="preserve">enhancement of DCI format 2_3, it is </w:t>
      </w:r>
      <w:r>
        <w:rPr>
          <w:rFonts w:eastAsia="宋体" w:hint="eastAsia"/>
          <w:szCs w:val="20"/>
        </w:rPr>
        <w:t xml:space="preserve">simple </w:t>
      </w:r>
      <w:r w:rsidR="00384AA0">
        <w:rPr>
          <w:rFonts w:eastAsia="宋体"/>
          <w:szCs w:val="20"/>
        </w:rPr>
        <w:t>but</w:t>
      </w:r>
      <w:r>
        <w:rPr>
          <w:rFonts w:eastAsia="宋体" w:hint="eastAsia"/>
          <w:szCs w:val="20"/>
        </w:rPr>
        <w:t xml:space="preserve"> </w:t>
      </w:r>
      <w:r>
        <w:rPr>
          <w:rFonts w:eastAsia="宋体"/>
          <w:szCs w:val="20"/>
        </w:rPr>
        <w:t xml:space="preserve">sufficient to directly introduce one 2-bit TPC command field and one 1-bit closed-loop indicator field that </w:t>
      </w:r>
      <w:r w:rsidR="009329FF">
        <w:rPr>
          <w:rFonts w:eastAsia="宋体"/>
          <w:szCs w:val="20"/>
        </w:rPr>
        <w:t xml:space="preserve">is </w:t>
      </w:r>
      <w:r>
        <w:rPr>
          <w:rFonts w:eastAsia="宋体"/>
          <w:szCs w:val="20"/>
        </w:rPr>
        <w:t xml:space="preserve">dedicated to indicate TPC command for SRS when the UE is configured with </w:t>
      </w:r>
      <w:r>
        <w:rPr>
          <w:rFonts w:eastAsia="宋体" w:hint="eastAsia"/>
          <w:szCs w:val="20"/>
        </w:rPr>
        <w:t xml:space="preserve">two </w:t>
      </w:r>
      <w:r>
        <w:rPr>
          <w:rFonts w:eastAsia="宋体"/>
          <w:szCs w:val="20"/>
        </w:rPr>
        <w:t>separate SRS CLPC adjustment states.</w:t>
      </w:r>
    </w:p>
    <w:p w:rsidR="0055216E" w:rsidRDefault="00954509">
      <w:pPr>
        <w:adjustRightInd w:val="0"/>
        <w:spacing w:beforeLines="50" w:before="180" w:beforeAutospacing="0" w:afterLines="0" w:after="0"/>
        <w:jc w:val="both"/>
        <w:rPr>
          <w:rFonts w:eastAsia="宋体"/>
          <w:i/>
          <w:szCs w:val="20"/>
        </w:rPr>
      </w:pPr>
      <w:r>
        <w:rPr>
          <w:rFonts w:eastAsia="宋体"/>
          <w:b/>
          <w:bCs/>
          <w:i/>
          <w:iCs/>
          <w:szCs w:val="20"/>
        </w:rPr>
        <w:t>Proposal 2:</w:t>
      </w:r>
      <w:r>
        <w:rPr>
          <w:rFonts w:eastAsia="宋体"/>
          <w:i/>
          <w:iCs/>
          <w:szCs w:val="20"/>
        </w:rPr>
        <w:t xml:space="preserve"> </w:t>
      </w:r>
      <w:r>
        <w:rPr>
          <w:rFonts w:eastAsia="宋体"/>
          <w:i/>
          <w:szCs w:val="20"/>
        </w:rPr>
        <w:t>Support to enhance DCI formats 1_1 and 0_1 to indicate TPC command for SRS when the UE is configured with two separate SRS CLPC adjustment states.</w:t>
      </w:r>
    </w:p>
    <w:p w:rsidR="0055216E" w:rsidRDefault="00954509">
      <w:pPr>
        <w:pStyle w:val="aff2"/>
        <w:numPr>
          <w:ilvl w:val="0"/>
          <w:numId w:val="10"/>
        </w:numPr>
        <w:spacing w:beforeLines="0" w:before="0" w:afterLines="0" w:after="0" w:line="240" w:lineRule="auto"/>
        <w:ind w:leftChars="0"/>
        <w:rPr>
          <w:rFonts w:ascii="Times New Roman" w:eastAsia="宋体" w:hAnsi="Times New Roman"/>
          <w:i/>
          <w:szCs w:val="20"/>
        </w:rPr>
      </w:pPr>
      <w:r>
        <w:rPr>
          <w:rFonts w:ascii="Times New Roman" w:eastAsia="宋体" w:hAnsi="Times New Roman"/>
          <w:i/>
          <w:iCs/>
          <w:szCs w:val="20"/>
        </w:rPr>
        <w:t xml:space="preserve">Introduce one </w:t>
      </w:r>
      <w:r>
        <w:rPr>
          <w:rFonts w:ascii="Times New Roman" w:eastAsia="宋体" w:hAnsi="Times New Roman"/>
          <w:i/>
          <w:szCs w:val="20"/>
        </w:rPr>
        <w:t>2-bit TPC command field and one 1-bit closed-loop indicator field in DCI formats 1_1 and 0_1.</w:t>
      </w:r>
    </w:p>
    <w:p w:rsidR="0055216E" w:rsidRDefault="00954509">
      <w:pPr>
        <w:spacing w:after="180"/>
        <w:jc w:val="both"/>
        <w:rPr>
          <w:rFonts w:eastAsia="Batang"/>
          <w:szCs w:val="20"/>
          <w:lang w:val="en-GB" w:eastAsia="en-US"/>
        </w:rPr>
      </w:pPr>
      <w:r>
        <w:rPr>
          <w:rFonts w:eastAsia="宋体"/>
          <w:szCs w:val="20"/>
        </w:rPr>
        <w:t xml:space="preserve">Regarding the concern on </w:t>
      </w:r>
      <w:r>
        <w:rPr>
          <w:rFonts w:eastAsia="Batang"/>
          <w:szCs w:val="20"/>
          <w:lang w:val="en-GB" w:eastAsia="en-US"/>
        </w:rPr>
        <w:t xml:space="preserve">Alt2 of the following agreement reached in RAN1#116bis meeting, we think the potential issues with beam management as pointed out by companies is valid, due to Alt2 deviates from the legacy rule of SRS power control determination under unified TCI framework [5]. </w:t>
      </w:r>
    </w:p>
    <w:tbl>
      <w:tblPr>
        <w:tblStyle w:val="afc"/>
        <w:tblW w:w="0" w:type="auto"/>
        <w:tblInd w:w="-5" w:type="dxa"/>
        <w:tblLook w:val="04A0" w:firstRow="1" w:lastRow="0" w:firstColumn="1" w:lastColumn="0" w:noHBand="0" w:noVBand="1"/>
      </w:tblPr>
      <w:tblGrid>
        <w:gridCol w:w="9355"/>
      </w:tblGrid>
      <w:tr w:rsidR="0055216E" w:rsidTr="003374DD">
        <w:tc>
          <w:tcPr>
            <w:tcW w:w="9355" w:type="dxa"/>
          </w:tcPr>
          <w:p w:rsidR="0055216E" w:rsidRDefault="00954509">
            <w:pPr>
              <w:adjustRightInd w:val="0"/>
              <w:spacing w:beforeAutospacing="0" w:afterLines="0" w:after="0"/>
              <w:rPr>
                <w:rFonts w:eastAsia="等线"/>
                <w:b/>
                <w:bCs/>
                <w:szCs w:val="20"/>
                <w:highlight w:val="green"/>
              </w:rPr>
            </w:pPr>
            <w:r>
              <w:rPr>
                <w:rFonts w:eastAsia="等线"/>
                <w:b/>
                <w:bCs/>
                <w:szCs w:val="20"/>
                <w:highlight w:val="green"/>
              </w:rPr>
              <w:t>Agreement</w:t>
            </w:r>
          </w:p>
          <w:p w:rsidR="0055216E" w:rsidRDefault="00954509">
            <w:pPr>
              <w:adjustRightInd w:val="0"/>
              <w:spacing w:beforeAutospacing="0" w:afterLines="0" w:after="0"/>
              <w:rPr>
                <w:rFonts w:eastAsia="等线"/>
                <w:szCs w:val="20"/>
              </w:rPr>
            </w:pPr>
            <w:r>
              <w:rPr>
                <w:rFonts w:eastAsia="等线"/>
                <w:szCs w:val="20"/>
              </w:rPr>
              <w:t xml:space="preserve">For a UE configured with two SRS CLPC adjustment states, support </w:t>
            </w:r>
            <w:r>
              <w:rPr>
                <w:rFonts w:eastAsia="等线"/>
                <w:b/>
                <w:bCs/>
                <w:szCs w:val="20"/>
              </w:rPr>
              <w:t>Alt2</w:t>
            </w:r>
            <w:r>
              <w:rPr>
                <w:rFonts w:eastAsia="等线"/>
                <w:szCs w:val="20"/>
              </w:rPr>
              <w:t xml:space="preserve"> for indicating one of the SRS CLPC adjustment states to SRS:</w:t>
            </w:r>
          </w:p>
          <w:p w:rsidR="0055216E" w:rsidRDefault="00954509">
            <w:pPr>
              <w:numPr>
                <w:ilvl w:val="0"/>
                <w:numId w:val="13"/>
              </w:numPr>
              <w:adjustRightInd w:val="0"/>
              <w:spacing w:beforeAutospacing="0" w:afterLines="0" w:after="0"/>
              <w:jc w:val="both"/>
              <w:rPr>
                <w:rFonts w:eastAsia="等线"/>
                <w:szCs w:val="20"/>
              </w:rPr>
            </w:pPr>
            <w:r>
              <w:rPr>
                <w:rFonts w:eastAsia="等线"/>
                <w:szCs w:val="20"/>
              </w:rPr>
              <w:t xml:space="preserve">Alt2: When the parameter </w:t>
            </w:r>
            <w:proofErr w:type="spellStart"/>
            <w:r>
              <w:rPr>
                <w:rFonts w:eastAsia="等线"/>
                <w:szCs w:val="20"/>
              </w:rPr>
              <w:t>srs-PowerControlAdjustmentStates</w:t>
            </w:r>
            <w:proofErr w:type="spellEnd"/>
            <w:r>
              <w:rPr>
                <w:rFonts w:eastAsia="等线"/>
                <w:szCs w:val="20"/>
              </w:rPr>
              <w:t xml:space="preserve"> is set to '</w:t>
            </w:r>
            <w:proofErr w:type="spellStart"/>
            <w:r>
              <w:rPr>
                <w:rFonts w:eastAsia="等线"/>
                <w:szCs w:val="20"/>
              </w:rPr>
              <w:t>separateClosedLoop</w:t>
            </w:r>
            <w:proofErr w:type="spellEnd"/>
            <w:r>
              <w:rPr>
                <w:rFonts w:eastAsia="等线"/>
                <w:szCs w:val="20"/>
              </w:rPr>
              <w:t>', closedLoopIndex-r17 for SRS in the TCI state indicates one of the SRS CLPC adjustment states</w:t>
            </w:r>
          </w:p>
          <w:p w:rsidR="0055216E" w:rsidRDefault="00954509">
            <w:pPr>
              <w:numPr>
                <w:ilvl w:val="1"/>
                <w:numId w:val="13"/>
              </w:numPr>
              <w:adjustRightInd w:val="0"/>
              <w:spacing w:beforeAutospacing="0" w:afterLines="0" w:after="0"/>
              <w:jc w:val="both"/>
              <w:rPr>
                <w:rFonts w:eastAsia="等线"/>
                <w:szCs w:val="20"/>
              </w:rPr>
            </w:pPr>
            <w:r>
              <w:rPr>
                <w:bCs/>
                <w:iCs/>
                <w:szCs w:val="20"/>
              </w:rPr>
              <w:lastRenderedPageBreak/>
              <w:t xml:space="preserve">The candidate value of i0 and i1 in </w:t>
            </w:r>
            <w:r>
              <w:rPr>
                <w:bCs/>
                <w:i/>
                <w:szCs w:val="20"/>
              </w:rPr>
              <w:t>closedLoopIndex-r17</w:t>
            </w:r>
            <w:r>
              <w:rPr>
                <w:bCs/>
                <w:iCs/>
                <w:szCs w:val="20"/>
              </w:rPr>
              <w:t xml:space="preserve"> for SRS refers to the first and the second CLPC adjustment state separate from PUSCH, respectively</w:t>
            </w:r>
          </w:p>
          <w:p w:rsidR="0055216E" w:rsidRDefault="00954509">
            <w:pPr>
              <w:adjustRightInd w:val="0"/>
              <w:spacing w:beforeAutospacing="0" w:afterLines="0" w:after="0"/>
              <w:rPr>
                <w:rFonts w:eastAsia="Batang"/>
                <w:szCs w:val="20"/>
              </w:rPr>
            </w:pPr>
            <w:r>
              <w:rPr>
                <w:rFonts w:eastAsia="Batang"/>
                <w:szCs w:val="20"/>
              </w:rPr>
              <w:t>Ericsson raised concerns on Alt2 due to potential issues with beam management.</w:t>
            </w:r>
          </w:p>
        </w:tc>
      </w:tr>
    </w:tbl>
    <w:p w:rsidR="0055216E" w:rsidRDefault="00954509">
      <w:pPr>
        <w:spacing w:after="180"/>
        <w:jc w:val="both"/>
        <w:rPr>
          <w:szCs w:val="20"/>
        </w:rPr>
      </w:pPr>
      <w:r>
        <w:rPr>
          <w:rFonts w:eastAsia="Batang"/>
          <w:szCs w:val="20"/>
          <w:lang w:val="en-GB" w:eastAsia="en-US"/>
        </w:rPr>
        <w:lastRenderedPageBreak/>
        <w:t xml:space="preserve">As shown in the following excerpts in TS 38.213, if </w:t>
      </w:r>
      <w:proofErr w:type="spellStart"/>
      <w:r>
        <w:rPr>
          <w:i/>
          <w:iCs/>
          <w:szCs w:val="20"/>
        </w:rPr>
        <w:t>followUnifiedTCI-StateSRS</w:t>
      </w:r>
      <w:proofErr w:type="spellEnd"/>
      <w:r>
        <w:rPr>
          <w:szCs w:val="20"/>
        </w:rPr>
        <w:t xml:space="preserve"> is not provided for an SRS resource set (e.g., that is used for beam management), SRS CLPC adjustment state is provided by </w:t>
      </w:r>
      <w:r>
        <w:rPr>
          <w:i/>
          <w:szCs w:val="20"/>
        </w:rPr>
        <w:t>p0AlphaSetforSRS</w:t>
      </w:r>
      <w:r>
        <w:rPr>
          <w:szCs w:val="20"/>
        </w:rPr>
        <w:t xml:space="preserve"> associated with joint/UL TCI state of an SRS resource with lowest </w:t>
      </w:r>
      <w:r>
        <w:rPr>
          <w:i/>
          <w:iCs/>
          <w:szCs w:val="20"/>
        </w:rPr>
        <w:t>SRS-</w:t>
      </w:r>
      <w:proofErr w:type="spellStart"/>
      <w:r>
        <w:rPr>
          <w:i/>
          <w:iCs/>
          <w:szCs w:val="20"/>
        </w:rPr>
        <w:t>ResourceId</w:t>
      </w:r>
      <w:proofErr w:type="spellEnd"/>
      <w:r>
        <w:rPr>
          <w:szCs w:val="20"/>
        </w:rPr>
        <w:t xml:space="preserve"> in the SRS resource set. Apparently, it is different from the mechanism of Alt2 that SRS CLPC adjustment state is provided by </w:t>
      </w:r>
      <w:r>
        <w:rPr>
          <w:i/>
          <w:szCs w:val="20"/>
        </w:rPr>
        <w:t>p0AlphaSetforSRS</w:t>
      </w:r>
      <w:r>
        <w:rPr>
          <w:szCs w:val="20"/>
        </w:rPr>
        <w:t xml:space="preserve"> associated with the indicated joint/UL TCI state for SRS.</w:t>
      </w:r>
    </w:p>
    <w:tbl>
      <w:tblPr>
        <w:tblStyle w:val="afc"/>
        <w:tblW w:w="0" w:type="auto"/>
        <w:tblInd w:w="-5" w:type="dxa"/>
        <w:tblLook w:val="04A0" w:firstRow="1" w:lastRow="0" w:firstColumn="1" w:lastColumn="0" w:noHBand="0" w:noVBand="1"/>
      </w:tblPr>
      <w:tblGrid>
        <w:gridCol w:w="9355"/>
      </w:tblGrid>
      <w:tr w:rsidR="0055216E" w:rsidTr="003374DD">
        <w:tc>
          <w:tcPr>
            <w:tcW w:w="9355" w:type="dxa"/>
          </w:tcPr>
          <w:p w:rsidR="0055216E" w:rsidRDefault="00954509">
            <w:pPr>
              <w:spacing w:beforeAutospacing="0" w:afterLines="0" w:after="180"/>
              <w:rPr>
                <w:rFonts w:ascii="Arial" w:eastAsia="宋体" w:hAnsi="Arial" w:cs="Arial"/>
                <w:szCs w:val="28"/>
              </w:rPr>
            </w:pPr>
            <w:r>
              <w:rPr>
                <w:rFonts w:ascii="Arial" w:eastAsia="宋体" w:hAnsi="Arial" w:cs="Arial"/>
                <w:szCs w:val="28"/>
              </w:rPr>
              <w:t>7  Uplink Power Control</w:t>
            </w:r>
          </w:p>
          <w:p w:rsidR="0055216E" w:rsidRDefault="00954509">
            <w:pPr>
              <w:spacing w:after="180"/>
              <w:jc w:val="center"/>
              <w:rPr>
                <w:rFonts w:eastAsia="宋体"/>
                <w:color w:val="FF0000"/>
              </w:rPr>
            </w:pPr>
            <w:r>
              <w:rPr>
                <w:rFonts w:eastAsia="宋体"/>
                <w:color w:val="FF0000"/>
              </w:rPr>
              <w:t>&lt;Irrelevant parts are omitted&gt;</w:t>
            </w:r>
          </w:p>
          <w:p w:rsidR="0055216E" w:rsidRDefault="00954509">
            <w:pPr>
              <w:spacing w:after="180"/>
              <w:rPr>
                <w:lang w:eastAsia="ko-KR"/>
              </w:rPr>
            </w:pPr>
            <w:r>
              <w:rPr>
                <w:lang w:eastAsia="ko-KR"/>
              </w:rPr>
              <w:t xml:space="preserve">In the remaining of this clause, if a UE is provided </w:t>
            </w:r>
            <w:r>
              <w:rPr>
                <w:rFonts w:cs="Times"/>
                <w:i/>
                <w:iCs/>
                <w:szCs w:val="18"/>
              </w:rPr>
              <w:t>TCI-State</w:t>
            </w:r>
            <w:r>
              <w:rPr>
                <w:rFonts w:cs="Times"/>
                <w:iCs/>
                <w:szCs w:val="18"/>
              </w:rPr>
              <w:t xml:space="preserve"> in</w:t>
            </w:r>
            <w:r>
              <w:t xml:space="preserve"> </w:t>
            </w:r>
            <w:r>
              <w:rPr>
                <w:rFonts w:cs="Times"/>
                <w:i/>
                <w:szCs w:val="18"/>
              </w:rPr>
              <w:t>dl-</w:t>
            </w:r>
            <w:proofErr w:type="spellStart"/>
            <w:r>
              <w:rPr>
                <w:rFonts w:cs="Times"/>
                <w:i/>
                <w:szCs w:val="18"/>
              </w:rPr>
              <w:t>OrJointTCI</w:t>
            </w:r>
            <w:proofErr w:type="spellEnd"/>
            <w:r>
              <w:rPr>
                <w:rFonts w:cs="Times"/>
                <w:i/>
                <w:szCs w:val="18"/>
              </w:rPr>
              <w:t>-</w:t>
            </w:r>
            <w:proofErr w:type="spellStart"/>
            <w:r>
              <w:rPr>
                <w:rFonts w:cs="Times"/>
                <w:i/>
                <w:szCs w:val="18"/>
              </w:rPr>
              <w:t>StateList</w:t>
            </w:r>
            <w:proofErr w:type="spellEnd"/>
            <w:r>
              <w:rPr>
                <w:rFonts w:cs="Times"/>
                <w:iCs/>
                <w:szCs w:val="18"/>
              </w:rPr>
              <w:t xml:space="preserve"> or</w:t>
            </w:r>
            <w:r>
              <w:t xml:space="preserve"> </w:t>
            </w:r>
            <w:r>
              <w:rPr>
                <w:i/>
                <w:iCs/>
              </w:rPr>
              <w:t>TCI-UL-State,</w:t>
            </w:r>
            <w:r>
              <w:rPr>
                <w:lang w:eastAsia="ko-KR"/>
              </w:rPr>
              <w:t xml:space="preserve"> and for each indicated one or two </w:t>
            </w:r>
            <w:r>
              <w:rPr>
                <w:rFonts w:cs="Times"/>
                <w:i/>
                <w:iCs/>
                <w:szCs w:val="18"/>
              </w:rPr>
              <w:t>TCI-State</w:t>
            </w:r>
            <w:r>
              <w:rPr>
                <w:rFonts w:cs="Times"/>
                <w:iCs/>
                <w:szCs w:val="18"/>
              </w:rPr>
              <w:t xml:space="preserve"> or</w:t>
            </w:r>
            <w:r>
              <w:t xml:space="preserve"> </w:t>
            </w:r>
            <w:r>
              <w:rPr>
                <w:i/>
                <w:iCs/>
              </w:rPr>
              <w:t>TCI-UL-State</w:t>
            </w:r>
            <w:r>
              <w:t xml:space="preserve"> of a PUSCH, PUCCH, or SRS transmission occasion as described in [6, TS 38.214]</w:t>
            </w:r>
            <w:r>
              <w:rPr>
                <w:lang w:eastAsia="ko-KR"/>
              </w:rPr>
              <w:t xml:space="preserve"> </w:t>
            </w:r>
          </w:p>
          <w:p w:rsidR="0055216E" w:rsidRDefault="00954509">
            <w:pPr>
              <w:pStyle w:val="B1"/>
              <w:spacing w:before="108" w:after="108"/>
              <w:jc w:val="center"/>
            </w:pPr>
            <w:r>
              <w:rPr>
                <w:rFonts w:eastAsia="宋体" w:hint="eastAsia"/>
                <w:color w:val="FF0000"/>
              </w:rPr>
              <w:t>&lt;Irrelevant parts are omitted&gt;</w:t>
            </w:r>
          </w:p>
          <w:p w:rsidR="0055216E" w:rsidRDefault="00954509">
            <w:pPr>
              <w:pStyle w:val="B1"/>
              <w:spacing w:before="108" w:after="108"/>
            </w:pPr>
            <w:r>
              <w:t>-</w:t>
            </w:r>
            <w:r>
              <w:tab/>
              <w:t xml:space="preserve">in clause 7.3.1, if </w:t>
            </w:r>
            <w:r>
              <w:rPr>
                <w:i/>
              </w:rPr>
              <w:t>p0AlphaSetforSRS</w:t>
            </w:r>
            <w:r>
              <w:t xml:space="preserve"> is provided, </w:t>
            </w:r>
          </w:p>
          <w:p w:rsidR="0055216E" w:rsidRDefault="00954509">
            <w:pPr>
              <w:pStyle w:val="B2"/>
              <w:spacing w:before="108" w:after="180"/>
            </w:pPr>
            <w:r>
              <w:t>-</w:t>
            </w:r>
            <w:r>
              <w:tab/>
              <w:t xml:space="preserve">if </w:t>
            </w:r>
            <w:proofErr w:type="spellStart"/>
            <w:r>
              <w:rPr>
                <w:i/>
                <w:iCs/>
              </w:rPr>
              <w:t>followUnifiedTCI</w:t>
            </w:r>
            <w:proofErr w:type="spellEnd"/>
            <w:r>
              <w:rPr>
                <w:i/>
                <w:iCs/>
                <w:lang w:val="en-GB"/>
              </w:rPr>
              <w:t>-S</w:t>
            </w:r>
            <w:proofErr w:type="spellStart"/>
            <w:r>
              <w:rPr>
                <w:i/>
                <w:iCs/>
              </w:rPr>
              <w:t>tateSRS</w:t>
            </w:r>
            <w:proofErr w:type="spellEnd"/>
            <w:r>
              <w:t xml:space="preserve"> is provided for </w:t>
            </w:r>
            <w:proofErr w:type="gramStart"/>
            <w:r>
              <w:t>a</w:t>
            </w:r>
            <w:proofErr w:type="gramEnd"/>
            <w:r>
              <w:t xml:space="preserve"> SRS resource set, </w:t>
            </w:r>
            <w:r>
              <w:rPr>
                <w:lang w:eastAsia="ko-KR"/>
              </w:rPr>
              <w:t>the values of</w:t>
            </w:r>
            <w:r>
              <w:rPr>
                <w:lang w:val="en-GB" w:eastAsia="ko-KR"/>
              </w:rPr>
              <w:t xml:space="preserve"> </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Pr>
                <w:i/>
              </w:rPr>
              <w:t>p0AlphaSetforSRS</w:t>
            </w:r>
            <w:r>
              <w:t xml:space="preserve"> associated with the indicated </w:t>
            </w:r>
            <w:r>
              <w:rPr>
                <w:i/>
                <w:iCs/>
              </w:rPr>
              <w:t>TCI</w:t>
            </w:r>
            <w:r>
              <w:rPr>
                <w:i/>
                <w:iCs/>
                <w:lang w:val="en-GB"/>
              </w:rPr>
              <w:t>-</w:t>
            </w:r>
            <w:r>
              <w:rPr>
                <w:i/>
                <w:iCs/>
              </w:rPr>
              <w:t>State</w:t>
            </w:r>
            <w:r>
              <w:t xml:space="preserve"> or </w:t>
            </w:r>
            <w:r>
              <w:rPr>
                <w:i/>
                <w:iCs/>
              </w:rPr>
              <w:t>TCI-UL-State</w:t>
            </w:r>
          </w:p>
          <w:p w:rsidR="0055216E" w:rsidRDefault="00954509">
            <w:pPr>
              <w:pStyle w:val="B2"/>
              <w:spacing w:before="108" w:after="180"/>
            </w:pPr>
            <w:r>
              <w:t>-</w:t>
            </w:r>
            <w:r>
              <w:tab/>
              <w:t xml:space="preserve">else, </w:t>
            </w:r>
            <w:r>
              <w:rPr>
                <w:highlight w:val="yellow"/>
              </w:rPr>
              <w:t xml:space="preserve">if </w:t>
            </w:r>
            <w:proofErr w:type="spellStart"/>
            <w:r>
              <w:rPr>
                <w:i/>
                <w:iCs/>
                <w:highlight w:val="yellow"/>
              </w:rPr>
              <w:t>followUnifiedTCI</w:t>
            </w:r>
            <w:proofErr w:type="spellEnd"/>
            <w:r>
              <w:rPr>
                <w:i/>
                <w:iCs/>
                <w:highlight w:val="yellow"/>
                <w:lang w:val="en-GB"/>
              </w:rPr>
              <w:t>-S</w:t>
            </w:r>
            <w:proofErr w:type="spellStart"/>
            <w:r>
              <w:rPr>
                <w:i/>
                <w:iCs/>
                <w:highlight w:val="yellow"/>
              </w:rPr>
              <w:t>tateSRS</w:t>
            </w:r>
            <w:proofErr w:type="spellEnd"/>
            <w:r>
              <w:rPr>
                <w:highlight w:val="yellow"/>
              </w:rPr>
              <w:t xml:space="preserve"> is not provided for a SRS resource set and for a SRS resource from the SRS resource set</w:t>
            </w:r>
            <w:r>
              <w:rPr>
                <w:highlight w:val="yellow"/>
                <w:lang w:val="en-GB"/>
              </w:rPr>
              <w:t>,</w:t>
            </w:r>
            <w:r>
              <w:rPr>
                <w:highlight w:val="yellow"/>
                <w:lang w:eastAsia="ko-KR"/>
              </w:rPr>
              <w:t xml:space="preserve"> the values of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rPr>
                    <m:t>O_UE_SRS</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s</m:t>
                      </m:r>
                    </m:sub>
                  </m:sSub>
                </m:e>
              </m:d>
            </m:oMath>
            <w:r>
              <w:rPr>
                <w:highlight w:val="yellow"/>
              </w:rPr>
              <w:t xml:space="preserve">, </w:t>
            </w:r>
            <m:oMath>
              <m:sSub>
                <m:sSubPr>
                  <m:ctrlPr>
                    <w:rPr>
                      <w:rFonts w:ascii="Cambria Math" w:hAnsi="Cambria Math"/>
                      <w:iCs/>
                      <w:highlight w:val="yellow"/>
                    </w:rPr>
                  </m:ctrlPr>
                </m:sSubPr>
                <m:e>
                  <m:r>
                    <w:rPr>
                      <w:rFonts w:ascii="Cambria Math" w:hAnsi="Cambria Math"/>
                      <w:highlight w:val="yellow"/>
                    </w:rPr>
                    <m:t>α</m:t>
                  </m:r>
                </m:e>
                <m:sub>
                  <m:r>
                    <m:rPr>
                      <m:sty m:val="p"/>
                    </m:rPr>
                    <w:rPr>
                      <w:rFonts w:ascii="Cambria Math"/>
                      <w:highlight w:val="yellow"/>
                    </w:rPr>
                    <m:t>SRS</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s</m:t>
                      </m:r>
                    </m:sub>
                  </m:sSub>
                </m:e>
              </m:d>
            </m:oMath>
            <w:r>
              <w:rPr>
                <w:highlight w:val="yellow"/>
              </w:rPr>
              <w:t xml:space="preserve">, and SRS power control adjustment state </w:t>
            </w:r>
            <m:oMath>
              <m:r>
                <w:rPr>
                  <w:rFonts w:ascii="Cambria Math" w:hAnsi="Cambria Math"/>
                  <w:highlight w:val="yellow"/>
                </w:rPr>
                <m:t>l</m:t>
              </m:r>
            </m:oMath>
            <w:r>
              <w:rPr>
                <w:highlight w:val="yellow"/>
              </w:rPr>
              <w:t xml:space="preserve"> are provided by </w:t>
            </w:r>
            <w:r>
              <w:rPr>
                <w:i/>
                <w:highlight w:val="yellow"/>
              </w:rPr>
              <w:t>p0AlphaSetforSRS</w:t>
            </w:r>
            <w:r>
              <w:rPr>
                <w:highlight w:val="yellow"/>
              </w:rPr>
              <w:t xml:space="preserve"> associated with </w:t>
            </w:r>
            <w:r>
              <w:rPr>
                <w:i/>
                <w:iCs/>
                <w:highlight w:val="yellow"/>
              </w:rPr>
              <w:t>TCI-State</w:t>
            </w:r>
            <w:r>
              <w:rPr>
                <w:highlight w:val="yellow"/>
              </w:rPr>
              <w:t xml:space="preserve"> or </w:t>
            </w:r>
            <w:r>
              <w:rPr>
                <w:i/>
                <w:iCs/>
                <w:highlight w:val="yellow"/>
              </w:rPr>
              <w:t xml:space="preserve">TCI-UL-State </w:t>
            </w:r>
            <w:r>
              <w:rPr>
                <w:highlight w:val="yellow"/>
              </w:rPr>
              <w:t xml:space="preserve">of an SRS resource with lowest </w:t>
            </w:r>
            <w:r>
              <w:rPr>
                <w:i/>
                <w:iCs/>
                <w:highlight w:val="yellow"/>
              </w:rPr>
              <w:t>SRS-</w:t>
            </w:r>
            <w:proofErr w:type="spellStart"/>
            <w:r>
              <w:rPr>
                <w:i/>
                <w:iCs/>
                <w:highlight w:val="yellow"/>
              </w:rPr>
              <w:t>ResourceId</w:t>
            </w:r>
            <w:proofErr w:type="spellEnd"/>
            <w:r>
              <w:rPr>
                <w:highlight w:val="yellow"/>
              </w:rPr>
              <w:t xml:space="preserve"> in the SRS resource set and a RS index </w:t>
            </w:r>
            <m:oMath>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d</m:t>
                  </m:r>
                </m:sub>
              </m:sSub>
            </m:oMath>
            <w:r>
              <w:rPr>
                <w:iCs/>
                <w:highlight w:val="yellow"/>
              </w:rPr>
              <w:t xml:space="preserve"> </w:t>
            </w:r>
            <w:r>
              <w:rPr>
                <w:highlight w:val="yellow"/>
              </w:rPr>
              <w:t xml:space="preserve">for obtaining a pathloss estimate for the SRS transmission is provided by </w:t>
            </w:r>
            <w:r>
              <w:rPr>
                <w:i/>
                <w:highlight w:val="yellow"/>
              </w:rPr>
              <w:t>pathlossReferenceRS-Id-r17</w:t>
            </w:r>
            <w:r>
              <w:rPr>
                <w:highlight w:val="yellow"/>
              </w:rPr>
              <w:t xml:space="preserve"> associated with or included in the </w:t>
            </w:r>
            <w:r>
              <w:rPr>
                <w:i/>
                <w:iCs/>
                <w:highlight w:val="yellow"/>
              </w:rPr>
              <w:t>TCI-State</w:t>
            </w:r>
            <w:r>
              <w:rPr>
                <w:highlight w:val="yellow"/>
              </w:rPr>
              <w:t xml:space="preserve"> or </w:t>
            </w:r>
            <w:r>
              <w:rPr>
                <w:i/>
                <w:iCs/>
                <w:highlight w:val="yellow"/>
              </w:rPr>
              <w:t>TCI-UL-State</w:t>
            </w:r>
            <w:r>
              <w:rPr>
                <w:highlight w:val="yellow"/>
              </w:rPr>
              <w:t xml:space="preserve"> of an SRS resource with lowest </w:t>
            </w:r>
            <w:r>
              <w:rPr>
                <w:i/>
                <w:iCs/>
                <w:highlight w:val="yellow"/>
              </w:rPr>
              <w:t>SRS-</w:t>
            </w:r>
            <w:proofErr w:type="spellStart"/>
            <w:r>
              <w:rPr>
                <w:i/>
                <w:iCs/>
                <w:highlight w:val="yellow"/>
              </w:rPr>
              <w:t>ResourceId</w:t>
            </w:r>
            <w:proofErr w:type="spellEnd"/>
            <w:r>
              <w:rPr>
                <w:highlight w:val="yellow"/>
              </w:rPr>
              <w:t xml:space="preserve"> in the SRS resource set</w:t>
            </w:r>
          </w:p>
          <w:p w:rsidR="0055216E" w:rsidRDefault="006154EF">
            <w:pPr>
              <w:pStyle w:val="B2"/>
              <w:spacing w:before="108" w:after="180"/>
              <w:ind w:left="567"/>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954509">
              <w:t xml:space="preserve"> is the sum of the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954509">
              <w:rPr>
                <w:iCs/>
              </w:rPr>
              <w:t xml:space="preserve"> and </w:t>
            </w:r>
            <w:r w:rsidR="00954509">
              <w:t xml:space="preserve">a component </w:t>
            </w:r>
            <w:r w:rsidR="00954509">
              <w:rPr>
                <w:rFonts w:eastAsia="MS Mincho"/>
                <w:i/>
              </w:rPr>
              <w:t>p0</w:t>
            </w:r>
            <w:r w:rsidR="00954509">
              <w:rPr>
                <w:rFonts w:eastAsia="MS Mincho"/>
              </w:rPr>
              <w:t xml:space="preserve"> </w:t>
            </w:r>
            <w:r w:rsidR="00954509">
              <w:t xml:space="preserve">provided by </w:t>
            </w:r>
            <w:r w:rsidR="00954509">
              <w:rPr>
                <w:i/>
              </w:rPr>
              <w:t>SRS-</w:t>
            </w:r>
            <w:proofErr w:type="spellStart"/>
            <w:r w:rsidR="00954509">
              <w:rPr>
                <w:i/>
              </w:rPr>
              <w:t>ResourceSet</w:t>
            </w:r>
            <w:proofErr w:type="spellEnd"/>
            <w:r w:rsidR="00954509">
              <w:t xml:space="preserve"> corresponding to the SRS resource </w:t>
            </w:r>
            <w:proofErr w:type="gramStart"/>
            <w:r w:rsidR="00954509">
              <w:t>set.</w:t>
            </w:r>
            <w:proofErr w:type="gramEnd"/>
          </w:p>
          <w:p w:rsidR="0055216E" w:rsidRDefault="00954509">
            <w:pPr>
              <w:spacing w:beforeAutospacing="0" w:afterLines="0" w:after="180"/>
              <w:jc w:val="center"/>
              <w:rPr>
                <w:rFonts w:eastAsia="宋体"/>
              </w:rPr>
            </w:pPr>
            <w:r>
              <w:rPr>
                <w:rFonts w:eastAsia="宋体" w:hint="eastAsia"/>
                <w:color w:val="FF0000"/>
              </w:rPr>
              <w:t>&lt;Irrelevant parts are omitted&gt;</w:t>
            </w:r>
          </w:p>
        </w:tc>
      </w:tr>
    </w:tbl>
    <w:p w:rsidR="0055216E" w:rsidRDefault="00954509">
      <w:pPr>
        <w:adjustRightInd w:val="0"/>
        <w:spacing w:beforeLines="50" w:before="180" w:beforeAutospacing="0" w:after="180"/>
        <w:jc w:val="both"/>
        <w:rPr>
          <w:rFonts w:eastAsia="宋体"/>
          <w:szCs w:val="20"/>
        </w:rPr>
      </w:pPr>
      <w:r>
        <w:rPr>
          <w:rFonts w:eastAsia="Batang"/>
          <w:szCs w:val="20"/>
          <w:lang w:val="en-GB" w:eastAsia="en-US"/>
        </w:rPr>
        <w:t xml:space="preserve">Besides, it should be noticed that the effectiveness of TCI states that used for SRS transmission will be negatively impacted if going with Alt2. As illustrated in Figure 3, </w:t>
      </w:r>
      <w:r>
        <w:rPr>
          <w:rFonts w:eastAsia="宋体"/>
          <w:szCs w:val="20"/>
        </w:rPr>
        <w:t xml:space="preserve">the dominant use case is that one separate closed loop i0 is used for SRS transmission to UL TRP for beam management and another separate closed loop i1 is used for SRS transmission to DL TRP for DL CSI acquisition. Subsequently, the best beam (i.e., the TCI state with i1 in green of SRS towards UL TRP and the TCI state with i0 in blue of SRS towards DL TRP) cannot be indicated due to the limitation of Alt2 that SRS CLPC adjustment states i0 and i1 are configured by </w:t>
      </w:r>
      <w:r>
        <w:rPr>
          <w:rFonts w:eastAsia="等线"/>
          <w:i/>
          <w:szCs w:val="20"/>
          <w:lang w:val="en-GB" w:eastAsia="en-US"/>
        </w:rPr>
        <w:t>closedLoopIndex-r17</w:t>
      </w:r>
      <w:r>
        <w:rPr>
          <w:rFonts w:eastAsia="等线"/>
          <w:szCs w:val="20"/>
          <w:lang w:val="en-GB" w:eastAsia="en-US"/>
        </w:rPr>
        <w:t xml:space="preserve"> for SRS in the TCI state. The root of this issue lies in </w:t>
      </w:r>
      <w:r>
        <w:rPr>
          <w:rFonts w:eastAsia="宋体"/>
          <w:szCs w:val="20"/>
        </w:rPr>
        <w:t>SRS CLPC adjustment states i0 or i1 always depends on the TCI state used for SRS transmission.</w:t>
      </w:r>
    </w:p>
    <w:p w:rsidR="0055216E" w:rsidRDefault="00954509">
      <w:pPr>
        <w:adjustRightInd w:val="0"/>
        <w:spacing w:after="180"/>
        <w:jc w:val="center"/>
        <w:rPr>
          <w:rFonts w:eastAsia="宋体"/>
          <w:sz w:val="22"/>
          <w:szCs w:val="22"/>
        </w:rPr>
      </w:pPr>
      <w:r>
        <w:rPr>
          <w:rFonts w:eastAsia="宋体"/>
          <w:noProof/>
          <w:sz w:val="22"/>
          <w:szCs w:val="22"/>
        </w:rPr>
        <w:lastRenderedPageBreak/>
        <w:drawing>
          <wp:inline distT="0" distB="0" distL="0" distR="0">
            <wp:extent cx="4287520" cy="1699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91866" cy="1701434"/>
                    </a:xfrm>
                    <a:prstGeom prst="rect">
                      <a:avLst/>
                    </a:prstGeom>
                  </pic:spPr>
                </pic:pic>
              </a:graphicData>
            </a:graphic>
          </wp:inline>
        </w:drawing>
      </w:r>
    </w:p>
    <w:p w:rsidR="0055216E" w:rsidRDefault="00954509">
      <w:pPr>
        <w:adjustRightInd w:val="0"/>
        <w:spacing w:after="180"/>
        <w:jc w:val="center"/>
        <w:rPr>
          <w:rFonts w:eastAsia="宋体"/>
          <w:szCs w:val="20"/>
          <w:lang w:val="en-GB"/>
        </w:rPr>
      </w:pPr>
      <w:r>
        <w:rPr>
          <w:rFonts w:eastAsia="宋体" w:hint="eastAsia"/>
          <w:b/>
          <w:bCs/>
          <w:szCs w:val="20"/>
        </w:rPr>
        <w:t xml:space="preserve">Figure </w:t>
      </w:r>
      <w:r>
        <w:rPr>
          <w:rFonts w:eastAsia="宋体"/>
          <w:b/>
          <w:bCs/>
          <w:szCs w:val="20"/>
        </w:rPr>
        <w:t>3</w:t>
      </w:r>
      <w:r>
        <w:rPr>
          <w:rFonts w:eastAsia="宋体" w:hint="eastAsia"/>
          <w:szCs w:val="20"/>
        </w:rPr>
        <w:tab/>
      </w:r>
      <w:r>
        <w:rPr>
          <w:rFonts w:eastAsia="宋体"/>
          <w:szCs w:val="20"/>
        </w:rPr>
        <w:t xml:space="preserve">Potential issue of TCI states for SRS transmission when </w:t>
      </w:r>
      <w:r>
        <w:rPr>
          <w:rFonts w:ascii="Times" w:eastAsia="等线" w:hAnsi="Times" w:cs="Batang"/>
          <w:i/>
          <w:szCs w:val="20"/>
          <w:lang w:val="en-GB" w:eastAsia="en-US"/>
        </w:rPr>
        <w:t>closedLoopIndex-r17</w:t>
      </w:r>
      <w:r>
        <w:rPr>
          <w:rFonts w:ascii="Times" w:eastAsia="等线" w:hAnsi="Times" w:cs="Batang"/>
          <w:szCs w:val="20"/>
          <w:lang w:val="en-GB" w:eastAsia="en-US"/>
        </w:rPr>
        <w:t xml:space="preserve"> for SRS in the TCI state is used to indicate one of the SRS CLPC adjustment states</w:t>
      </w:r>
    </w:p>
    <w:p w:rsidR="0055216E" w:rsidRDefault="00954509">
      <w:pPr>
        <w:adjustRightInd w:val="0"/>
        <w:spacing w:beforeLines="50" w:before="180" w:beforeAutospacing="0" w:after="180"/>
        <w:jc w:val="both"/>
        <w:rPr>
          <w:rFonts w:eastAsia="宋体"/>
          <w:szCs w:val="20"/>
        </w:rPr>
      </w:pPr>
      <w:r>
        <w:rPr>
          <w:rFonts w:ascii="Times" w:eastAsia="等线" w:hAnsi="Times" w:cs="Batang"/>
          <w:szCs w:val="20"/>
          <w:lang w:val="en-GB" w:eastAsia="en-US"/>
        </w:rPr>
        <w:t xml:space="preserve">By comparison, Alt1 reached in RAN1#116 meeting that one out of two separate SRS CLPC adjustment states can be configured in SRS resource set should be adopted as the extra rule to address this issue, where the separate SRS CLPC adjustment state i0 or i1 can be decoupled with the </w:t>
      </w:r>
      <w:r>
        <w:rPr>
          <w:rFonts w:eastAsia="宋体"/>
          <w:szCs w:val="20"/>
        </w:rPr>
        <w:t xml:space="preserve">TCI state used for SRS transmission. In addition, note that Alt1 and Alt2 do not need to coexist from the perspective of signaling, </w:t>
      </w:r>
      <w:r>
        <w:rPr>
          <w:rFonts w:ascii="Times" w:eastAsia="等线" w:hAnsi="Times" w:cs="Batang"/>
          <w:i/>
          <w:szCs w:val="20"/>
          <w:lang w:val="en-GB" w:eastAsia="en-US"/>
        </w:rPr>
        <w:t>closedLoopIndex-r17</w:t>
      </w:r>
      <w:r>
        <w:rPr>
          <w:rFonts w:ascii="Times" w:eastAsia="等线" w:hAnsi="Times" w:cs="Batang"/>
          <w:szCs w:val="20"/>
          <w:lang w:val="en-GB" w:eastAsia="en-US"/>
        </w:rPr>
        <w:t xml:space="preserve"> for SRS in the TCI state </w:t>
      </w:r>
      <w:r>
        <w:rPr>
          <w:rFonts w:eastAsia="等线" w:cs="Batang"/>
          <w:szCs w:val="20"/>
          <w:lang w:eastAsia="en-US"/>
        </w:rPr>
        <w:t>is not to</w:t>
      </w:r>
      <w:r>
        <w:rPr>
          <w:rFonts w:ascii="Times" w:eastAsia="等线" w:hAnsi="Times" w:cs="Batang"/>
          <w:szCs w:val="20"/>
          <w:lang w:val="en-GB" w:eastAsia="en-US"/>
        </w:rPr>
        <w:t xml:space="preserve"> be used to indicate the SRS CLPC adjustment state in this way.</w:t>
      </w:r>
    </w:p>
    <w:p w:rsidR="0055216E" w:rsidRDefault="00954509">
      <w:pPr>
        <w:adjustRightInd w:val="0"/>
        <w:spacing w:beforeLines="50" w:before="180" w:beforeAutospacing="0" w:afterLines="0" w:after="0"/>
        <w:jc w:val="both"/>
        <w:rPr>
          <w:rFonts w:eastAsia="宋体"/>
          <w:i/>
          <w:iCs/>
          <w:szCs w:val="20"/>
        </w:rPr>
      </w:pPr>
      <w:r>
        <w:rPr>
          <w:rFonts w:eastAsia="宋体" w:hint="eastAsia"/>
          <w:b/>
          <w:bCs/>
          <w:i/>
          <w:iCs/>
          <w:szCs w:val="20"/>
        </w:rPr>
        <w:t xml:space="preserve">Proposal </w:t>
      </w:r>
      <w:r>
        <w:rPr>
          <w:rFonts w:eastAsia="宋体"/>
          <w:b/>
          <w:bCs/>
          <w:i/>
          <w:iCs/>
          <w:szCs w:val="20"/>
        </w:rPr>
        <w:t>3</w:t>
      </w:r>
      <w:r>
        <w:rPr>
          <w:rFonts w:eastAsia="宋体" w:hint="eastAsia"/>
          <w:b/>
          <w:bCs/>
          <w:i/>
          <w:iCs/>
          <w:szCs w:val="20"/>
        </w:rPr>
        <w:t>:</w:t>
      </w:r>
      <w:r>
        <w:rPr>
          <w:rFonts w:eastAsia="宋体" w:hint="eastAsia"/>
          <w:i/>
          <w:iCs/>
          <w:szCs w:val="20"/>
        </w:rPr>
        <w:t xml:space="preserve"> Support </w:t>
      </w:r>
      <w:r>
        <w:rPr>
          <w:rFonts w:eastAsia="宋体"/>
          <w:i/>
          <w:iCs/>
          <w:szCs w:val="20"/>
        </w:rPr>
        <w:t>that one out of two separate CLPC adjustment states for SRS can be configured to one SRS resource set (Alt1)</w:t>
      </w:r>
      <w:r>
        <w:rPr>
          <w:rFonts w:eastAsia="宋体" w:hint="eastAsia"/>
          <w:i/>
          <w:iCs/>
          <w:szCs w:val="20"/>
        </w:rPr>
        <w:t>.</w:t>
      </w:r>
    </w:p>
    <w:p w:rsidR="0055216E" w:rsidRDefault="00954509">
      <w:pPr>
        <w:pStyle w:val="aff2"/>
        <w:numPr>
          <w:ilvl w:val="0"/>
          <w:numId w:val="10"/>
        </w:numPr>
        <w:spacing w:beforeLines="0" w:before="0" w:afterLines="0" w:after="0" w:line="240" w:lineRule="auto"/>
        <w:ind w:leftChars="0"/>
        <w:rPr>
          <w:rFonts w:eastAsia="宋体"/>
          <w:i/>
          <w:szCs w:val="20"/>
        </w:rPr>
      </w:pPr>
      <w:r>
        <w:rPr>
          <w:rFonts w:eastAsia="宋体"/>
          <w:i/>
          <w:iCs/>
          <w:szCs w:val="20"/>
        </w:rPr>
        <w:t xml:space="preserve">In this way, </w:t>
      </w:r>
      <w:r>
        <w:rPr>
          <w:rFonts w:eastAsia="等线" w:cs="Batang"/>
          <w:i/>
          <w:szCs w:val="20"/>
          <w:lang w:eastAsia="en-US"/>
        </w:rPr>
        <w:t>closedLoopIndex-r17 for SRS in the TCI state is not to be used to indicate the SRS CLPC adjustment state</w:t>
      </w:r>
      <w:r>
        <w:rPr>
          <w:rFonts w:eastAsia="宋体"/>
          <w:i/>
          <w:szCs w:val="20"/>
        </w:rPr>
        <w:t>.</w:t>
      </w:r>
    </w:p>
    <w:p w:rsidR="0055216E" w:rsidRDefault="00954509">
      <w:pPr>
        <w:pStyle w:val="1"/>
        <w:keepNext/>
        <w:tabs>
          <w:tab w:val="left" w:pos="3686"/>
          <w:tab w:val="left" w:pos="4536"/>
        </w:tabs>
        <w:spacing w:beforeLines="100" w:before="360" w:after="180" w:line="240" w:lineRule="auto"/>
        <w:textAlignment w:val="baseline"/>
        <w:rPr>
          <w:lang w:val="en-US"/>
        </w:rPr>
      </w:pPr>
      <w:r>
        <w:rPr>
          <w:rFonts w:hint="eastAsia"/>
          <w:lang w:val="en-US"/>
        </w:rPr>
        <w:t xml:space="preserve">Pathloss offset </w:t>
      </w:r>
      <w:r>
        <w:rPr>
          <w:lang w:val="en-US"/>
        </w:rPr>
        <w:t>related enhancement</w:t>
      </w:r>
    </w:p>
    <w:p w:rsidR="0055216E" w:rsidRDefault="00954509">
      <w:pPr>
        <w:adjustRightInd w:val="0"/>
        <w:spacing w:beforeLines="50" w:before="180" w:beforeAutospacing="0" w:after="180"/>
        <w:jc w:val="both"/>
        <w:rPr>
          <w:rFonts w:eastAsia="宋体"/>
          <w:szCs w:val="20"/>
        </w:rPr>
      </w:pPr>
      <w:r>
        <w:rPr>
          <w:rFonts w:eastAsia="宋体"/>
          <w:szCs w:val="20"/>
        </w:rPr>
        <w:t>In RAN1#117 meeting, the following agreements were reached for the issue of pathloss offset related enhancement [</w:t>
      </w:r>
      <w:r>
        <w:rPr>
          <w:rFonts w:eastAsia="宋体" w:hint="eastAsia"/>
          <w:szCs w:val="20"/>
        </w:rPr>
        <w:t>2</w:t>
      </w:r>
      <w:r>
        <w:rPr>
          <w:rFonts w:eastAsia="宋体"/>
          <w:szCs w:val="20"/>
        </w:rPr>
        <w:t>].</w:t>
      </w:r>
    </w:p>
    <w:tbl>
      <w:tblPr>
        <w:tblStyle w:val="afc"/>
        <w:tblW w:w="0" w:type="auto"/>
        <w:tblInd w:w="-5" w:type="dxa"/>
        <w:tblLook w:val="04A0" w:firstRow="1" w:lastRow="0" w:firstColumn="1" w:lastColumn="0" w:noHBand="0" w:noVBand="1"/>
      </w:tblPr>
      <w:tblGrid>
        <w:gridCol w:w="9355"/>
      </w:tblGrid>
      <w:tr w:rsidR="0055216E" w:rsidTr="003374DD">
        <w:tc>
          <w:tcPr>
            <w:tcW w:w="9355" w:type="dxa"/>
          </w:tcPr>
          <w:p w:rsidR="0055216E" w:rsidRDefault="00954509">
            <w:pPr>
              <w:adjustRightInd w:val="0"/>
              <w:spacing w:beforeAutospacing="0" w:afterLines="0" w:after="0"/>
              <w:rPr>
                <w:rFonts w:eastAsia="等线"/>
                <w:b/>
                <w:bCs/>
                <w:szCs w:val="20"/>
                <w:highlight w:val="green"/>
                <w:lang w:val="en-CA" w:eastAsia="en-US"/>
              </w:rPr>
            </w:pPr>
            <w:r>
              <w:rPr>
                <w:rFonts w:eastAsia="等线"/>
                <w:b/>
                <w:bCs/>
                <w:szCs w:val="20"/>
                <w:highlight w:val="green"/>
                <w:lang w:val="en-CA" w:eastAsia="en-US"/>
              </w:rPr>
              <w:t>Agreement</w:t>
            </w:r>
          </w:p>
          <w:p w:rsidR="0055216E" w:rsidRDefault="00954509">
            <w:pPr>
              <w:spacing w:beforeAutospacing="0" w:afterLines="0" w:after="0"/>
              <w:rPr>
                <w:rFonts w:eastAsia="等线"/>
                <w:szCs w:val="20"/>
                <w:lang w:val="en-GB"/>
              </w:rPr>
            </w:pPr>
            <w:r>
              <w:rPr>
                <w:rFonts w:eastAsia="等线"/>
                <w:szCs w:val="20"/>
                <w:lang w:val="en-GB"/>
              </w:rPr>
              <w:t>For indicating a PL offset for PDCCH-order PRACH transmission at least for FR1, further study and down-select one from the Alt1 and Alt3 by RAN1#118 meeting:</w:t>
            </w:r>
          </w:p>
          <w:p w:rsidR="0055216E" w:rsidRDefault="00954509">
            <w:pPr>
              <w:numPr>
                <w:ilvl w:val="0"/>
                <w:numId w:val="14"/>
              </w:numPr>
              <w:spacing w:beforeAutospacing="0" w:afterLines="0" w:after="0"/>
              <w:jc w:val="both"/>
              <w:rPr>
                <w:rFonts w:eastAsia="等线"/>
                <w:szCs w:val="20"/>
                <w:lang w:val="en-GB"/>
              </w:rPr>
            </w:pPr>
            <w:r>
              <w:rPr>
                <w:rFonts w:eastAsia="等线"/>
                <w:szCs w:val="20"/>
                <w:lang w:val="en-GB"/>
              </w:rPr>
              <w:t xml:space="preserve">Alt1: RRC configures multiple PL offset values [in PRACH-Config] and PDCCH-order DCI indicates one of them through one DCI field </w:t>
            </w:r>
          </w:p>
          <w:p w:rsidR="0055216E" w:rsidRDefault="00954509">
            <w:pPr>
              <w:numPr>
                <w:ilvl w:val="0"/>
                <w:numId w:val="14"/>
              </w:numPr>
              <w:spacing w:beforeAutospacing="0" w:afterLines="0" w:after="0"/>
              <w:rPr>
                <w:rFonts w:eastAsia="等线"/>
                <w:szCs w:val="20"/>
                <w:lang w:val="en-GB"/>
              </w:rPr>
            </w:pPr>
            <w:r>
              <w:rPr>
                <w:rFonts w:eastAsia="等线"/>
                <w:szCs w:val="20"/>
                <w:lang w:val="en-GB" w:eastAsia="en-US"/>
              </w:rPr>
              <w:t>Alt3: The PL offset associated with one of the indicated joint/UL TCI state for UL TRP in unified TCI framework is applied on the PDCCH-order PRACH transmission</w:t>
            </w:r>
          </w:p>
          <w:p w:rsidR="0055216E" w:rsidRDefault="00954509">
            <w:pPr>
              <w:numPr>
                <w:ilvl w:val="0"/>
                <w:numId w:val="14"/>
              </w:numPr>
              <w:spacing w:beforeAutospacing="0" w:afterLines="0" w:after="0"/>
              <w:jc w:val="both"/>
              <w:rPr>
                <w:rFonts w:eastAsia="等线"/>
                <w:szCs w:val="20"/>
                <w:lang w:val="en-GB"/>
              </w:rPr>
            </w:pPr>
            <w:r>
              <w:rPr>
                <w:rFonts w:eastAsia="等线"/>
                <w:szCs w:val="20"/>
                <w:lang w:val="en-GB"/>
              </w:rPr>
              <w:t>FFS: the details of DCI field design.</w:t>
            </w:r>
          </w:p>
          <w:p w:rsidR="0055216E" w:rsidRDefault="0055216E">
            <w:pPr>
              <w:adjustRightInd w:val="0"/>
              <w:spacing w:beforeAutospacing="0" w:afterLines="0" w:after="0"/>
              <w:rPr>
                <w:rFonts w:eastAsia="等线"/>
                <w:b/>
                <w:bCs/>
                <w:szCs w:val="20"/>
                <w:highlight w:val="green"/>
                <w:lang w:val="en-GB"/>
              </w:rPr>
            </w:pPr>
          </w:p>
          <w:p w:rsidR="0055216E" w:rsidRDefault="00954509">
            <w:pPr>
              <w:adjustRightInd w:val="0"/>
              <w:spacing w:beforeAutospacing="0" w:afterLines="0" w:after="0"/>
              <w:rPr>
                <w:rFonts w:eastAsia="等线"/>
                <w:b/>
                <w:bCs/>
                <w:szCs w:val="20"/>
                <w:highlight w:val="green"/>
                <w:lang w:val="en-CA" w:eastAsia="en-US"/>
              </w:rPr>
            </w:pPr>
            <w:r>
              <w:rPr>
                <w:rFonts w:eastAsia="等线"/>
                <w:b/>
                <w:bCs/>
                <w:szCs w:val="20"/>
                <w:highlight w:val="green"/>
                <w:lang w:val="en-CA" w:eastAsia="en-US"/>
              </w:rPr>
              <w:t>Agreement</w:t>
            </w:r>
          </w:p>
          <w:p w:rsidR="0055216E" w:rsidRDefault="00954509">
            <w:pPr>
              <w:spacing w:beforeAutospacing="0" w:afterLines="0" w:after="0"/>
              <w:rPr>
                <w:rFonts w:eastAsia="等线"/>
                <w:szCs w:val="20"/>
              </w:rPr>
            </w:pPr>
            <w:r>
              <w:rPr>
                <w:rFonts w:eastAsia="等线"/>
                <w:szCs w:val="20"/>
              </w:rPr>
              <w:t>For the association between PL offset and joint/UL TCI state, support the following</w:t>
            </w:r>
          </w:p>
          <w:p w:rsidR="0055216E" w:rsidRDefault="00954509">
            <w:pPr>
              <w:numPr>
                <w:ilvl w:val="0"/>
                <w:numId w:val="15"/>
              </w:numPr>
              <w:spacing w:beforeAutospacing="0" w:afterLines="0" w:after="0"/>
              <w:rPr>
                <w:rFonts w:eastAsia="等线"/>
                <w:szCs w:val="20"/>
              </w:rPr>
            </w:pPr>
            <w:r>
              <w:rPr>
                <w:rFonts w:eastAsia="等线"/>
                <w:szCs w:val="20"/>
              </w:rPr>
              <w:t>Alt1b: One PL offset value is configured in a joint or UL TCI state by RRC</w:t>
            </w:r>
            <w:r>
              <w:rPr>
                <w:rFonts w:eastAsia="等线"/>
                <w:color w:val="FF0000"/>
                <w:szCs w:val="20"/>
              </w:rPr>
              <w:t>, where different PL offset values can be configured to different joint or UL TCI states</w:t>
            </w:r>
            <w:r>
              <w:rPr>
                <w:rFonts w:eastAsia="等线"/>
                <w:szCs w:val="20"/>
              </w:rPr>
              <w:t>. A MAC CE can update the PL offset value(s) for joint or UL TCI state(s).</w:t>
            </w:r>
          </w:p>
          <w:p w:rsidR="0055216E" w:rsidRDefault="0055216E">
            <w:pPr>
              <w:adjustRightInd w:val="0"/>
              <w:spacing w:beforeAutospacing="0" w:afterLines="0" w:after="0"/>
              <w:rPr>
                <w:rFonts w:eastAsia="等线"/>
                <w:b/>
                <w:bCs/>
                <w:szCs w:val="20"/>
                <w:highlight w:val="green"/>
              </w:rPr>
            </w:pPr>
          </w:p>
          <w:p w:rsidR="0055216E" w:rsidRDefault="00954509">
            <w:pPr>
              <w:adjustRightInd w:val="0"/>
              <w:spacing w:beforeAutospacing="0" w:afterLines="0" w:after="0"/>
              <w:rPr>
                <w:rFonts w:eastAsia="等线"/>
                <w:b/>
                <w:bCs/>
                <w:szCs w:val="20"/>
                <w:highlight w:val="green"/>
                <w:lang w:val="en-CA" w:eastAsia="en-US"/>
              </w:rPr>
            </w:pPr>
            <w:r>
              <w:rPr>
                <w:rFonts w:eastAsia="等线"/>
                <w:b/>
                <w:bCs/>
                <w:szCs w:val="20"/>
                <w:highlight w:val="green"/>
                <w:lang w:val="en-CA" w:eastAsia="en-US"/>
              </w:rPr>
              <w:t>Agreement</w:t>
            </w:r>
          </w:p>
          <w:p w:rsidR="0055216E" w:rsidRDefault="00954509">
            <w:pPr>
              <w:spacing w:beforeAutospacing="0" w:afterLines="0" w:after="0"/>
              <w:rPr>
                <w:szCs w:val="20"/>
              </w:rPr>
            </w:pPr>
            <w:r>
              <w:rPr>
                <w:rFonts w:eastAsia="等线"/>
                <w:szCs w:val="20"/>
              </w:rPr>
              <w:t xml:space="preserve">For the asymmetric DL sTRP/UL mTRP scenarios, </w:t>
            </w:r>
            <w:r>
              <w:rPr>
                <w:szCs w:val="20"/>
              </w:rPr>
              <w:t>study and decide the value range and candidate values of PL offset value</w:t>
            </w:r>
          </w:p>
          <w:p w:rsidR="0055216E" w:rsidRDefault="0055216E">
            <w:pPr>
              <w:adjustRightInd w:val="0"/>
              <w:spacing w:beforeAutospacing="0" w:afterLines="0" w:after="0"/>
              <w:rPr>
                <w:rFonts w:eastAsia="等线"/>
                <w:b/>
                <w:bCs/>
                <w:szCs w:val="20"/>
                <w:highlight w:val="green"/>
              </w:rPr>
            </w:pPr>
          </w:p>
          <w:p w:rsidR="0055216E" w:rsidRDefault="00954509">
            <w:pPr>
              <w:adjustRightInd w:val="0"/>
              <w:spacing w:beforeAutospacing="0" w:afterLines="0" w:after="0"/>
              <w:rPr>
                <w:rFonts w:eastAsia="等线"/>
                <w:b/>
                <w:bCs/>
                <w:szCs w:val="20"/>
                <w:highlight w:val="green"/>
                <w:lang w:val="en-CA" w:eastAsia="en-US"/>
              </w:rPr>
            </w:pPr>
            <w:r>
              <w:rPr>
                <w:rFonts w:eastAsia="等线"/>
                <w:b/>
                <w:bCs/>
                <w:szCs w:val="20"/>
                <w:highlight w:val="green"/>
                <w:lang w:val="en-CA" w:eastAsia="en-US"/>
              </w:rPr>
              <w:t>Agreement</w:t>
            </w:r>
          </w:p>
          <w:p w:rsidR="0055216E" w:rsidRDefault="00954509">
            <w:pPr>
              <w:spacing w:beforeAutospacing="0" w:afterLines="0" w:after="0"/>
              <w:rPr>
                <w:rFonts w:eastAsia="等线"/>
                <w:szCs w:val="20"/>
              </w:rPr>
            </w:pPr>
            <w:r>
              <w:rPr>
                <w:rFonts w:eastAsia="等线"/>
                <w:szCs w:val="20"/>
              </w:rPr>
              <w:t>For the asymmetric DL sTRP/UL mTRP scenarios, study whether/how to consider PL offset in PHR calculation, including Type 1 PHR based on actual PUSCH transmission, Type 1 PHR based on reference PUSCH, Type 3 PHR based on actual SRS and Type 3 PHR based on reference SRS</w:t>
            </w:r>
          </w:p>
        </w:tc>
      </w:tr>
    </w:tbl>
    <w:p w:rsidR="0055216E" w:rsidRDefault="00954509">
      <w:pPr>
        <w:adjustRightInd w:val="0"/>
        <w:spacing w:beforeLines="50" w:before="180" w:beforeAutospacing="0" w:after="180"/>
        <w:jc w:val="both"/>
        <w:rPr>
          <w:rFonts w:eastAsia="宋体"/>
          <w:szCs w:val="20"/>
        </w:rPr>
      </w:pPr>
      <w:r>
        <w:rPr>
          <w:rFonts w:eastAsia="宋体"/>
          <w:szCs w:val="20"/>
        </w:rPr>
        <w:lastRenderedPageBreak/>
        <w:t xml:space="preserve">For indicating a PL offset for PDCCH-order based PRACH transmission at least for FR1, basically, either Alt1 or Alt3 can be feasible to fulfill this indication. </w:t>
      </w:r>
      <w:r w:rsidR="008636B9">
        <w:rPr>
          <w:rFonts w:eastAsia="宋体"/>
          <w:szCs w:val="20"/>
        </w:rPr>
        <w:t>Nevertheless</w:t>
      </w:r>
      <w:r>
        <w:rPr>
          <w:rFonts w:eastAsia="宋体"/>
          <w:szCs w:val="20"/>
        </w:rPr>
        <w:t>, we have the following elaborations</w:t>
      </w:r>
      <w:r w:rsidR="008636B9">
        <w:rPr>
          <w:rFonts w:eastAsia="宋体"/>
          <w:szCs w:val="20"/>
        </w:rPr>
        <w:t xml:space="preserve"> of pros and cons between the two alternatives</w:t>
      </w:r>
      <w:r>
        <w:rPr>
          <w:rFonts w:eastAsia="宋体"/>
          <w:szCs w:val="20"/>
        </w:rPr>
        <w:t>:</w:t>
      </w:r>
    </w:p>
    <w:p w:rsidR="0055216E" w:rsidRDefault="00954509">
      <w:pPr>
        <w:pStyle w:val="aff2"/>
        <w:numPr>
          <w:ilvl w:val="0"/>
          <w:numId w:val="16"/>
        </w:numPr>
        <w:spacing w:beforeLines="50" w:before="180" w:after="108"/>
        <w:ind w:leftChars="0"/>
        <w:rPr>
          <w:rFonts w:ascii="Times New Roman" w:eastAsia="宋体" w:hAnsi="Times New Roman"/>
          <w:szCs w:val="20"/>
        </w:rPr>
      </w:pPr>
      <w:r>
        <w:rPr>
          <w:rFonts w:ascii="Times New Roman" w:eastAsia="宋体" w:hAnsi="Times New Roman"/>
          <w:szCs w:val="20"/>
        </w:rPr>
        <w:t xml:space="preserve">On Alt1, independent power control of PRACH can be indicated rather than </w:t>
      </w:r>
      <w:r w:rsidR="007314B1">
        <w:rPr>
          <w:rFonts w:ascii="Times New Roman" w:eastAsia="宋体" w:hAnsi="Times New Roman"/>
          <w:szCs w:val="20"/>
        </w:rPr>
        <w:t xml:space="preserve">being </w:t>
      </w:r>
      <w:r>
        <w:rPr>
          <w:rFonts w:ascii="Times New Roman" w:eastAsia="宋体" w:hAnsi="Times New Roman"/>
          <w:szCs w:val="20"/>
        </w:rPr>
        <w:t>tied with joint/UL TCI states for other UL signals/channels, if necessary. In spite of that, it can be guaranteed by gNB implementation to align PL offset between PRACH and other UL signals/channels that towards the same UL TRP. However, it may require additional overhead of PDCCH order DCI for indicating the applied PL offset of PRACH transmission. Besides, RRC reconfiguration may be inevitable if PL offset towards one UL TRP varies. By comparison, the varied PL offset of other UL signals/channels can be updated by MAC CE as agreed in the last meeting.</w:t>
      </w:r>
    </w:p>
    <w:p w:rsidR="0055216E" w:rsidRPr="00FF327C" w:rsidRDefault="00954509" w:rsidP="00295F92">
      <w:pPr>
        <w:pStyle w:val="aff2"/>
        <w:numPr>
          <w:ilvl w:val="0"/>
          <w:numId w:val="16"/>
        </w:numPr>
        <w:spacing w:beforeLines="50" w:before="180" w:after="108"/>
        <w:ind w:leftChars="0"/>
        <w:rPr>
          <w:rFonts w:ascii="Times New Roman" w:eastAsia="宋体" w:hAnsi="Times New Roman"/>
          <w:szCs w:val="20"/>
        </w:rPr>
      </w:pPr>
      <w:r w:rsidRPr="00FF327C">
        <w:rPr>
          <w:rFonts w:ascii="Times New Roman" w:eastAsia="宋体" w:hAnsi="Times New Roman"/>
          <w:szCs w:val="20"/>
        </w:rPr>
        <w:t>On Alt3, a common PL offset between PRACH and PUSCH/PUCCH/SRS that towards the same UL TRP can be guaranteed. Correspondingly, no additional overhead of PDCCH order DCI is needed for the indication of the applied PL offset of PRACH transmission. In addition, the variation of PL offset that indicated by MAC CE can be applied to PRACH transmission subsequently. Regarding the feasibility of Alt3, it is valid due to it is practical that the very initial random access should transmit to DL TRP and then the PL offset of one indicated joint/UL TCI state can be applied to PRACH transmission. However, note that PRACH could be triggered to either DL TRP or UL TRP</w:t>
      </w:r>
      <w:r w:rsidR="00FF327C" w:rsidRPr="00FF327C">
        <w:rPr>
          <w:rFonts w:ascii="Times New Roman" w:eastAsia="宋体" w:hAnsi="Times New Roman"/>
          <w:szCs w:val="20"/>
        </w:rPr>
        <w:t xml:space="preserve"> under Rel-17/18 unified TCI framework</w:t>
      </w:r>
      <w:bookmarkStart w:id="3" w:name="_GoBack"/>
      <w:bookmarkEnd w:id="3"/>
      <w:r w:rsidRPr="00FF327C">
        <w:rPr>
          <w:rFonts w:ascii="Times New Roman" w:eastAsia="宋体" w:hAnsi="Times New Roman"/>
          <w:szCs w:val="20"/>
        </w:rPr>
        <w:t>, 1-bit field in PDCCH order DCI may be needed/introduced to indicate</w:t>
      </w:r>
      <w:r w:rsidR="00CD25CA" w:rsidRPr="00FF327C">
        <w:rPr>
          <w:rFonts w:ascii="Times New Roman" w:eastAsia="宋体" w:hAnsi="Times New Roman"/>
          <w:szCs w:val="20"/>
        </w:rPr>
        <w:t xml:space="preserve"> that</w:t>
      </w:r>
      <w:r w:rsidR="00E35D88" w:rsidRPr="00FF327C">
        <w:rPr>
          <w:rFonts w:ascii="Times New Roman" w:eastAsia="宋体" w:hAnsi="Times New Roman"/>
          <w:szCs w:val="20"/>
        </w:rPr>
        <w:t>: (1)</w:t>
      </w:r>
      <w:r w:rsidRPr="00FF327C">
        <w:rPr>
          <w:rFonts w:ascii="Times New Roman" w:eastAsia="宋体" w:hAnsi="Times New Roman"/>
          <w:szCs w:val="20"/>
        </w:rPr>
        <w:t xml:space="preserve"> whether</w:t>
      </w:r>
      <w:r w:rsidR="007314B1" w:rsidRPr="00FF327C">
        <w:rPr>
          <w:rFonts w:ascii="Times New Roman" w:eastAsia="宋体" w:hAnsi="Times New Roman"/>
          <w:szCs w:val="20"/>
        </w:rPr>
        <w:t xml:space="preserve"> the PL offset of one indicated joint/UL TCI state is applied to PRACH transmission</w:t>
      </w:r>
      <w:r w:rsidR="003976C5" w:rsidRPr="00FF327C">
        <w:rPr>
          <w:rFonts w:ascii="Times New Roman" w:eastAsia="宋体" w:hAnsi="Times New Roman"/>
          <w:szCs w:val="20"/>
        </w:rPr>
        <w:t xml:space="preserve"> or not</w:t>
      </w:r>
      <w:r w:rsidR="00586DC7" w:rsidRPr="00FF327C">
        <w:rPr>
          <w:rFonts w:ascii="Times New Roman" w:eastAsia="宋体" w:hAnsi="Times New Roman"/>
          <w:szCs w:val="20"/>
        </w:rPr>
        <w:t xml:space="preserve"> when Rel-17 unified TCI is indicated </w:t>
      </w:r>
      <w:r w:rsidR="00FA04B4" w:rsidRPr="00FF327C">
        <w:rPr>
          <w:rFonts w:ascii="Times New Roman" w:eastAsia="宋体" w:hAnsi="Times New Roman"/>
          <w:szCs w:val="20"/>
        </w:rPr>
        <w:t>in</w:t>
      </w:r>
      <w:r w:rsidR="00586DC7" w:rsidRPr="00FF327C">
        <w:rPr>
          <w:rFonts w:ascii="Times New Roman" w:eastAsia="宋体" w:hAnsi="Times New Roman"/>
          <w:szCs w:val="20"/>
        </w:rPr>
        <w:t xml:space="preserve"> sTRP/ICBM operation, or (2) whe</w:t>
      </w:r>
      <w:r w:rsidR="008C2344" w:rsidRPr="00FF327C">
        <w:rPr>
          <w:rFonts w:ascii="Times New Roman" w:eastAsia="宋体" w:hAnsi="Times New Roman"/>
          <w:szCs w:val="20"/>
        </w:rPr>
        <w:t>ther</w:t>
      </w:r>
      <w:r w:rsidR="00586DC7" w:rsidRPr="00FF327C">
        <w:rPr>
          <w:rFonts w:ascii="Times New Roman" w:eastAsia="宋体" w:hAnsi="Times New Roman"/>
          <w:szCs w:val="20"/>
        </w:rPr>
        <w:t xml:space="preserve"> </w:t>
      </w:r>
      <w:r w:rsidR="00586DC7" w:rsidRPr="00FF327C">
        <w:rPr>
          <w:rFonts w:ascii="Times New Roman" w:eastAsia="宋体" w:hAnsi="Times New Roman"/>
          <w:szCs w:val="20"/>
        </w:rPr>
        <w:t>the PL offset of one</w:t>
      </w:r>
      <w:r w:rsidR="00586DC7" w:rsidRPr="00FF327C">
        <w:rPr>
          <w:rFonts w:ascii="Times New Roman" w:eastAsia="宋体" w:hAnsi="Times New Roman"/>
          <w:szCs w:val="20"/>
        </w:rPr>
        <w:t xml:space="preserve"> out of two</w:t>
      </w:r>
      <w:r w:rsidR="00586DC7" w:rsidRPr="00FF327C">
        <w:rPr>
          <w:rFonts w:ascii="Times New Roman" w:eastAsia="宋体" w:hAnsi="Times New Roman"/>
          <w:szCs w:val="20"/>
        </w:rPr>
        <w:t xml:space="preserve"> indicated joint/UL TCI state</w:t>
      </w:r>
      <w:r w:rsidR="00586DC7" w:rsidRPr="00FF327C">
        <w:rPr>
          <w:rFonts w:ascii="Times New Roman" w:eastAsia="宋体" w:hAnsi="Times New Roman"/>
          <w:szCs w:val="20"/>
        </w:rPr>
        <w:t>s</w:t>
      </w:r>
      <w:r w:rsidR="00586DC7" w:rsidRPr="00FF327C">
        <w:rPr>
          <w:rFonts w:ascii="Times New Roman" w:eastAsia="宋体" w:hAnsi="Times New Roman"/>
          <w:szCs w:val="20"/>
        </w:rPr>
        <w:t xml:space="preserve"> is applied to PRACH transmission or not when Rel-1</w:t>
      </w:r>
      <w:r w:rsidR="00586DC7" w:rsidRPr="00FF327C">
        <w:rPr>
          <w:rFonts w:ascii="Times New Roman" w:eastAsia="宋体" w:hAnsi="Times New Roman"/>
          <w:szCs w:val="20"/>
        </w:rPr>
        <w:t>8</w:t>
      </w:r>
      <w:r w:rsidR="00586DC7" w:rsidRPr="00FF327C">
        <w:rPr>
          <w:rFonts w:ascii="Times New Roman" w:eastAsia="宋体" w:hAnsi="Times New Roman"/>
          <w:szCs w:val="20"/>
        </w:rPr>
        <w:t xml:space="preserve"> unified TCI is indicated </w:t>
      </w:r>
      <w:r w:rsidR="00FA04B4" w:rsidRPr="00FF327C">
        <w:rPr>
          <w:rFonts w:ascii="Times New Roman" w:eastAsia="宋体" w:hAnsi="Times New Roman"/>
          <w:szCs w:val="20"/>
        </w:rPr>
        <w:t>in</w:t>
      </w:r>
      <w:r w:rsidR="00586DC7" w:rsidRPr="00FF327C">
        <w:rPr>
          <w:rFonts w:ascii="Times New Roman" w:eastAsia="宋体" w:hAnsi="Times New Roman"/>
          <w:szCs w:val="20"/>
        </w:rPr>
        <w:t xml:space="preserve"> </w:t>
      </w:r>
      <w:r w:rsidR="00586DC7" w:rsidRPr="00FF327C">
        <w:rPr>
          <w:rFonts w:ascii="Times New Roman" w:eastAsia="宋体" w:hAnsi="Times New Roman"/>
          <w:szCs w:val="20"/>
        </w:rPr>
        <w:t>m</w:t>
      </w:r>
      <w:r w:rsidR="00586DC7" w:rsidRPr="00FF327C">
        <w:rPr>
          <w:rFonts w:ascii="Times New Roman" w:eastAsia="宋体" w:hAnsi="Times New Roman"/>
          <w:szCs w:val="20"/>
        </w:rPr>
        <w:t>TRP operation</w:t>
      </w:r>
      <w:r w:rsidRPr="00FF327C">
        <w:rPr>
          <w:rFonts w:ascii="Times New Roman" w:eastAsia="宋体" w:hAnsi="Times New Roman"/>
          <w:szCs w:val="20"/>
        </w:rPr>
        <w:t>.</w:t>
      </w:r>
    </w:p>
    <w:p w:rsidR="0055216E" w:rsidRDefault="00954509">
      <w:pPr>
        <w:adjustRightInd w:val="0"/>
        <w:spacing w:beforeLines="50" w:before="180" w:beforeAutospacing="0" w:after="180"/>
        <w:jc w:val="both"/>
        <w:rPr>
          <w:rFonts w:eastAsia="宋体"/>
          <w:szCs w:val="20"/>
        </w:rPr>
      </w:pPr>
      <w:r>
        <w:rPr>
          <w:rFonts w:eastAsia="宋体"/>
          <w:szCs w:val="20"/>
        </w:rPr>
        <w:t>In light of the above, Alt3 is preferable to facilitate the indication of PL offset for PDCCH order based PRACH at least for FR1.</w:t>
      </w:r>
    </w:p>
    <w:p w:rsidR="0055216E" w:rsidRDefault="00954509">
      <w:pPr>
        <w:adjustRightInd w:val="0"/>
        <w:spacing w:beforeLines="50" w:before="180" w:beforeAutospacing="0" w:afterLines="0" w:after="0"/>
        <w:jc w:val="both"/>
        <w:rPr>
          <w:rFonts w:eastAsia="宋体"/>
          <w:i/>
          <w:iCs/>
          <w:szCs w:val="20"/>
        </w:rPr>
      </w:pPr>
      <w:r>
        <w:rPr>
          <w:rFonts w:eastAsia="宋体"/>
          <w:b/>
          <w:bCs/>
          <w:i/>
          <w:iCs/>
          <w:szCs w:val="20"/>
        </w:rPr>
        <w:t>Proposal 4:</w:t>
      </w:r>
      <w:r>
        <w:rPr>
          <w:rFonts w:eastAsia="宋体"/>
          <w:i/>
          <w:iCs/>
          <w:szCs w:val="20"/>
        </w:rPr>
        <w:t xml:space="preserve"> </w:t>
      </w:r>
      <w:r>
        <w:rPr>
          <w:rFonts w:eastAsia="等线"/>
          <w:i/>
          <w:szCs w:val="20"/>
          <w:lang w:val="en-GB"/>
        </w:rPr>
        <w:t xml:space="preserve">For indicating a PL offset for PDCCH-order PRACH transmission at least for FR1, support that </w:t>
      </w:r>
      <w:r>
        <w:rPr>
          <w:rFonts w:eastAsia="等线"/>
          <w:i/>
          <w:szCs w:val="20"/>
          <w:lang w:val="en-GB" w:eastAsia="en-US"/>
        </w:rPr>
        <w:t>the PL offset associated with one of the indicated joint/UL TCI state for UL TRP in unified TCI framework is applied on the PDCCH-order PRACH transmission</w:t>
      </w:r>
      <w:r>
        <w:rPr>
          <w:rFonts w:eastAsia="宋体"/>
          <w:i/>
          <w:iCs/>
          <w:szCs w:val="20"/>
        </w:rPr>
        <w:t xml:space="preserve"> (Alt3).</w:t>
      </w:r>
    </w:p>
    <w:p w:rsidR="0055216E" w:rsidRDefault="00954509">
      <w:pPr>
        <w:pStyle w:val="aff2"/>
        <w:numPr>
          <w:ilvl w:val="0"/>
          <w:numId w:val="10"/>
        </w:numPr>
        <w:spacing w:beforeLines="0" w:before="0" w:afterLines="0" w:after="0" w:line="240" w:lineRule="auto"/>
        <w:ind w:leftChars="0"/>
        <w:rPr>
          <w:rFonts w:ascii="Times New Roman" w:eastAsia="宋体" w:hAnsi="Times New Roman"/>
          <w:i/>
          <w:szCs w:val="20"/>
        </w:rPr>
      </w:pPr>
      <w:r>
        <w:rPr>
          <w:rFonts w:ascii="Times New Roman" w:eastAsia="宋体" w:hAnsi="Times New Roman"/>
          <w:i/>
          <w:iCs/>
          <w:szCs w:val="20"/>
        </w:rPr>
        <w:t>Introduce or use a 1-bit field in DCI format 1_0 to indicate</w:t>
      </w:r>
      <w:r w:rsidR="00772F16">
        <w:rPr>
          <w:rFonts w:ascii="Times New Roman" w:eastAsia="宋体" w:hAnsi="Times New Roman"/>
          <w:i/>
          <w:iCs/>
          <w:szCs w:val="20"/>
        </w:rPr>
        <w:t xml:space="preserve"> that</w:t>
      </w:r>
      <w:r w:rsidR="007E605E">
        <w:rPr>
          <w:rFonts w:ascii="Times New Roman" w:eastAsia="宋体" w:hAnsi="Times New Roman"/>
          <w:i/>
          <w:iCs/>
          <w:szCs w:val="20"/>
        </w:rPr>
        <w:t>:</w:t>
      </w:r>
      <w:r>
        <w:rPr>
          <w:rFonts w:ascii="Times New Roman" w:eastAsia="宋体" w:hAnsi="Times New Roman"/>
          <w:i/>
          <w:iCs/>
          <w:szCs w:val="20"/>
        </w:rPr>
        <w:t xml:space="preserve"> </w:t>
      </w:r>
      <w:r w:rsidR="003411DE">
        <w:rPr>
          <w:rFonts w:ascii="Times New Roman" w:eastAsia="宋体" w:hAnsi="Times New Roman"/>
          <w:i/>
          <w:iCs/>
          <w:szCs w:val="20"/>
        </w:rPr>
        <w:t>(1</w:t>
      </w:r>
      <w:r w:rsidR="003411DE" w:rsidRPr="006D5B0B">
        <w:rPr>
          <w:rFonts w:ascii="Times New Roman" w:eastAsia="宋体" w:hAnsi="Times New Roman"/>
          <w:i/>
          <w:iCs/>
          <w:szCs w:val="20"/>
        </w:rPr>
        <w:t xml:space="preserve">) </w:t>
      </w:r>
      <w:r w:rsidR="006D5B0B" w:rsidRPr="006D5B0B">
        <w:rPr>
          <w:rFonts w:ascii="Times New Roman" w:eastAsia="宋体" w:hAnsi="Times New Roman"/>
          <w:i/>
          <w:szCs w:val="20"/>
        </w:rPr>
        <w:t xml:space="preserve">whether the PL offset of one indicated joint/UL TCI state is applied to PRACH transmission or not when Rel-17 unified TCI is indicated </w:t>
      </w:r>
      <w:r w:rsidR="001E7FDD">
        <w:rPr>
          <w:rFonts w:ascii="Times New Roman" w:eastAsia="宋体" w:hAnsi="Times New Roman"/>
          <w:i/>
          <w:szCs w:val="20"/>
        </w:rPr>
        <w:t>for</w:t>
      </w:r>
      <w:r w:rsidR="006D5B0B" w:rsidRPr="006D5B0B">
        <w:rPr>
          <w:rFonts w:ascii="Times New Roman" w:eastAsia="宋体" w:hAnsi="Times New Roman"/>
          <w:i/>
          <w:szCs w:val="20"/>
        </w:rPr>
        <w:t xml:space="preserve"> sTRP/ICBM operation</w:t>
      </w:r>
      <w:r w:rsidR="003411DE" w:rsidRPr="006D5B0B">
        <w:rPr>
          <w:rFonts w:ascii="Times New Roman" w:eastAsia="宋体" w:hAnsi="Times New Roman"/>
          <w:i/>
          <w:szCs w:val="20"/>
        </w:rPr>
        <w:t xml:space="preserve">, or </w:t>
      </w:r>
      <w:r w:rsidR="003411DE" w:rsidRPr="006D5B0B">
        <w:rPr>
          <w:rFonts w:ascii="Times New Roman" w:eastAsia="宋体" w:hAnsi="Times New Roman"/>
          <w:i/>
          <w:szCs w:val="20"/>
        </w:rPr>
        <w:t>(2) whe</w:t>
      </w:r>
      <w:r w:rsidR="008C2344">
        <w:rPr>
          <w:rFonts w:ascii="Times New Roman" w:eastAsia="宋体" w:hAnsi="Times New Roman"/>
          <w:i/>
          <w:szCs w:val="20"/>
        </w:rPr>
        <w:t>ther</w:t>
      </w:r>
      <w:r w:rsidR="003411DE" w:rsidRPr="006D5B0B">
        <w:rPr>
          <w:rFonts w:ascii="Times New Roman" w:eastAsia="宋体" w:hAnsi="Times New Roman"/>
          <w:i/>
          <w:szCs w:val="20"/>
        </w:rPr>
        <w:t xml:space="preserve"> the PL offset of one out of two indicated joint/UL TCI states is applied to PRACH transmission or not when Rel-18 unified TCI is indicated </w:t>
      </w:r>
      <w:r w:rsidR="00CD25CA">
        <w:rPr>
          <w:rFonts w:ascii="Times New Roman" w:eastAsia="宋体" w:hAnsi="Times New Roman"/>
          <w:i/>
          <w:szCs w:val="20"/>
        </w:rPr>
        <w:t>for</w:t>
      </w:r>
      <w:r w:rsidR="003411DE" w:rsidRPr="006D5B0B">
        <w:rPr>
          <w:rFonts w:ascii="Times New Roman" w:eastAsia="宋体" w:hAnsi="Times New Roman"/>
          <w:i/>
          <w:szCs w:val="20"/>
        </w:rPr>
        <w:t xml:space="preserve"> mTRP operation</w:t>
      </w:r>
      <w:r w:rsidRPr="006D5B0B">
        <w:rPr>
          <w:rFonts w:ascii="Times New Roman" w:eastAsia="宋体" w:hAnsi="Times New Roman"/>
          <w:i/>
          <w:szCs w:val="20"/>
        </w:rPr>
        <w:t>.</w:t>
      </w:r>
    </w:p>
    <w:p w:rsidR="000E14DA" w:rsidRDefault="00954509">
      <w:pPr>
        <w:spacing w:after="180"/>
        <w:jc w:val="both"/>
        <w:rPr>
          <w:rFonts w:eastAsia="宋体"/>
          <w:szCs w:val="20"/>
          <w:lang w:val="en-GB"/>
        </w:rPr>
      </w:pPr>
      <w:r>
        <w:rPr>
          <w:rFonts w:eastAsia="宋体"/>
          <w:szCs w:val="20"/>
          <w:lang w:val="en-GB"/>
        </w:rPr>
        <w:t xml:space="preserve">For the value range of PL offset, system-level simulation is performed to evaluate the potential values especially for two typical asymmetric DL sTRP/UL mTRP deployment scenarios. </w:t>
      </w:r>
    </w:p>
    <w:p w:rsidR="000E14DA" w:rsidRDefault="00954509" w:rsidP="000E14DA">
      <w:pPr>
        <w:pStyle w:val="aff2"/>
        <w:numPr>
          <w:ilvl w:val="0"/>
          <w:numId w:val="18"/>
        </w:numPr>
        <w:spacing w:before="108" w:after="108"/>
        <w:ind w:leftChars="0"/>
        <w:rPr>
          <w:rFonts w:eastAsia="宋体"/>
          <w:szCs w:val="20"/>
        </w:rPr>
      </w:pPr>
      <w:r w:rsidRPr="000E14DA">
        <w:rPr>
          <w:rFonts w:eastAsia="宋体"/>
          <w:szCs w:val="20"/>
        </w:rPr>
        <w:t xml:space="preserve">In the first case of asymmetric HetNet deployment as illustrated in Figure 4(a), it assumes both DL TRP (i.e., macro gNB) and UL TRP (i.e., micro gNB) can serve DL and UL transmissions. </w:t>
      </w:r>
    </w:p>
    <w:p w:rsidR="0055216E" w:rsidRPr="000E14DA" w:rsidRDefault="00954509" w:rsidP="000E14DA">
      <w:pPr>
        <w:pStyle w:val="aff2"/>
        <w:numPr>
          <w:ilvl w:val="0"/>
          <w:numId w:val="18"/>
        </w:numPr>
        <w:spacing w:before="108" w:after="108"/>
        <w:ind w:leftChars="0"/>
        <w:rPr>
          <w:rFonts w:eastAsia="宋体"/>
          <w:szCs w:val="20"/>
        </w:rPr>
      </w:pPr>
      <w:r w:rsidRPr="000E14DA">
        <w:rPr>
          <w:rFonts w:eastAsia="宋体"/>
          <w:szCs w:val="20"/>
        </w:rPr>
        <w:t>In the second case of UL-only TRP deployment as illustrated in Figure 4(b), DL TRP can serve both DL and UL transmissions while UL-TRP can only serve UL transmission.</w:t>
      </w:r>
    </w:p>
    <w:p w:rsidR="0055216E" w:rsidRDefault="00954509">
      <w:pPr>
        <w:adjustRightInd w:val="0"/>
        <w:spacing w:beforeLines="50" w:before="180" w:beforeAutospacing="0" w:after="180"/>
        <w:jc w:val="center"/>
        <w:rPr>
          <w:rFonts w:eastAsia="宋体"/>
          <w:sz w:val="22"/>
          <w:szCs w:val="22"/>
          <w:lang w:val="en-GB"/>
        </w:rPr>
      </w:pPr>
      <w:r>
        <w:rPr>
          <w:rFonts w:eastAsia="宋体"/>
          <w:noProof/>
          <w:sz w:val="22"/>
          <w:szCs w:val="22"/>
          <w:lang w:val="en-GB"/>
        </w:rPr>
        <w:drawing>
          <wp:inline distT="0" distB="0" distL="0" distR="0">
            <wp:extent cx="4627245" cy="1547495"/>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27685" cy="1548000"/>
                    </a:xfrm>
                    <a:prstGeom prst="rect">
                      <a:avLst/>
                    </a:prstGeom>
                  </pic:spPr>
                </pic:pic>
              </a:graphicData>
            </a:graphic>
          </wp:inline>
        </w:drawing>
      </w:r>
    </w:p>
    <w:p w:rsidR="0055216E" w:rsidRDefault="00954509">
      <w:pPr>
        <w:adjustRightInd w:val="0"/>
        <w:spacing w:beforeLines="50" w:before="180" w:beforeAutospacing="0" w:after="180"/>
        <w:jc w:val="center"/>
        <w:rPr>
          <w:rFonts w:eastAsia="宋体"/>
          <w:szCs w:val="20"/>
          <w:lang w:val="en-GB"/>
        </w:rPr>
      </w:pPr>
      <w:r>
        <w:rPr>
          <w:rFonts w:eastAsia="宋体"/>
          <w:szCs w:val="20"/>
          <w:lang w:val="en-GB"/>
        </w:rPr>
        <w:t>(a)</w:t>
      </w:r>
    </w:p>
    <w:p w:rsidR="0055216E" w:rsidRDefault="00954509">
      <w:pPr>
        <w:adjustRightInd w:val="0"/>
        <w:spacing w:beforeLines="50" w:before="180" w:beforeAutospacing="0" w:after="180"/>
        <w:jc w:val="center"/>
        <w:rPr>
          <w:rFonts w:eastAsia="宋体"/>
          <w:sz w:val="22"/>
          <w:szCs w:val="22"/>
          <w:lang w:val="en-GB"/>
        </w:rPr>
      </w:pPr>
      <w:r>
        <w:rPr>
          <w:rFonts w:eastAsia="宋体"/>
          <w:noProof/>
          <w:sz w:val="22"/>
          <w:szCs w:val="22"/>
          <w:lang w:val="en-GB"/>
        </w:rPr>
        <w:lastRenderedPageBreak/>
        <w:drawing>
          <wp:inline distT="0" distB="0" distL="0" distR="0">
            <wp:extent cx="4574540" cy="154749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5081" cy="1548000"/>
                    </a:xfrm>
                    <a:prstGeom prst="rect">
                      <a:avLst/>
                    </a:prstGeom>
                  </pic:spPr>
                </pic:pic>
              </a:graphicData>
            </a:graphic>
          </wp:inline>
        </w:drawing>
      </w:r>
    </w:p>
    <w:p w:rsidR="0055216E" w:rsidRDefault="00954509">
      <w:pPr>
        <w:adjustRightInd w:val="0"/>
        <w:spacing w:beforeLines="50" w:before="180" w:beforeAutospacing="0" w:after="180"/>
        <w:jc w:val="center"/>
        <w:rPr>
          <w:rFonts w:eastAsia="宋体"/>
          <w:szCs w:val="20"/>
          <w:lang w:val="en-GB"/>
        </w:rPr>
      </w:pPr>
      <w:r>
        <w:rPr>
          <w:rFonts w:eastAsia="宋体"/>
          <w:szCs w:val="20"/>
          <w:lang w:val="en-GB"/>
        </w:rPr>
        <w:t>(b)</w:t>
      </w:r>
    </w:p>
    <w:p w:rsidR="0055216E" w:rsidRDefault="00954509">
      <w:pPr>
        <w:adjustRightInd w:val="0"/>
        <w:spacing w:after="180"/>
        <w:jc w:val="center"/>
        <w:rPr>
          <w:rFonts w:eastAsia="宋体"/>
          <w:szCs w:val="20"/>
        </w:rPr>
      </w:pPr>
      <w:r>
        <w:rPr>
          <w:rFonts w:eastAsia="宋体" w:hint="eastAsia"/>
          <w:b/>
          <w:bCs/>
          <w:szCs w:val="20"/>
        </w:rPr>
        <w:t xml:space="preserve">Figure </w:t>
      </w:r>
      <w:r>
        <w:rPr>
          <w:rFonts w:eastAsia="宋体"/>
          <w:b/>
          <w:bCs/>
          <w:szCs w:val="20"/>
        </w:rPr>
        <w:t>4</w:t>
      </w:r>
      <w:r>
        <w:rPr>
          <w:rFonts w:eastAsia="宋体" w:hint="eastAsia"/>
          <w:szCs w:val="20"/>
        </w:rPr>
        <w:tab/>
      </w:r>
      <w:r>
        <w:rPr>
          <w:rFonts w:eastAsia="宋体"/>
          <w:szCs w:val="20"/>
        </w:rPr>
        <w:t xml:space="preserve">Two typical </w:t>
      </w:r>
      <w:r>
        <w:rPr>
          <w:rFonts w:eastAsia="宋体"/>
          <w:szCs w:val="20"/>
          <w:lang w:val="en-GB"/>
        </w:rPr>
        <w:t>asymmetric DL sTRP/UL mTRP deployment scenarios: (a) asymmetric HetNet deployment; (b) UL-only TRP deployment</w:t>
      </w:r>
    </w:p>
    <w:p w:rsidR="0055216E" w:rsidRDefault="00954509">
      <w:pPr>
        <w:spacing w:after="180"/>
        <w:jc w:val="both"/>
        <w:rPr>
          <w:rFonts w:eastAsia="宋体"/>
          <w:szCs w:val="20"/>
          <w:lang w:val="en-GB"/>
        </w:rPr>
      </w:pPr>
      <w:r>
        <w:rPr>
          <w:rFonts w:eastAsia="宋体"/>
          <w:szCs w:val="20"/>
        </w:rPr>
        <w:t xml:space="preserve">Consequently, the simulation result in Figure 5 and Figure 6 shows that the value range of PL offset can be {-60, 12} dB and {-60, 60} dB in case of asymmetric HetNet deployment and UL-only TRP deployment, respectively. Wherein, the value of PL offset = DL PL – UL PL. Given that Micro BS in asymmetric HetNet deployment can also serve DL transmission especially when UE is closed, the positive value range of PL offset would be smaller than that of UL-only TRP deployment. On the other hand, it is worth noting that </w:t>
      </w:r>
      <w:r>
        <w:rPr>
          <w:rFonts w:eastAsia="等线"/>
          <w:szCs w:val="20"/>
        </w:rPr>
        <w:t xml:space="preserve">UL transmission still towards UL TRP even if UE moves to closer to DL TRP but under the coverage of UL TRP, which depends on NW scheduling when considering interference in addition to Rx power of UL transmission in TRP and also </w:t>
      </w:r>
      <w:r>
        <w:rPr>
          <w:szCs w:val="20"/>
        </w:rPr>
        <w:t>can serve for heavy UL traffic offloading. Therefore, the negative value range of PL offset should also be supported.</w:t>
      </w:r>
    </w:p>
    <w:p w:rsidR="0055216E" w:rsidRDefault="00954509">
      <w:pPr>
        <w:adjustRightInd w:val="0"/>
        <w:spacing w:beforeLines="50" w:before="180" w:beforeAutospacing="0" w:after="180"/>
        <w:jc w:val="center"/>
        <w:rPr>
          <w:rFonts w:eastAsia="宋体"/>
          <w:sz w:val="22"/>
          <w:szCs w:val="22"/>
          <w:lang w:val="en-GB"/>
        </w:rPr>
      </w:pPr>
      <w:r>
        <w:rPr>
          <w:rFonts w:eastAsia="宋体"/>
          <w:noProof/>
          <w:sz w:val="22"/>
          <w:szCs w:val="22"/>
          <w:lang w:val="en-GB"/>
        </w:rPr>
        <mc:AlternateContent>
          <mc:Choice Requires="wps">
            <w:drawing>
              <wp:anchor distT="45720" distB="45720" distL="114300" distR="114300" simplePos="0" relativeHeight="251662336" behindDoc="0" locked="0" layoutInCell="1" allowOverlap="1">
                <wp:simplePos x="0" y="0"/>
                <wp:positionH relativeFrom="column">
                  <wp:posOffset>3910330</wp:posOffset>
                </wp:positionH>
                <wp:positionV relativeFrom="paragraph">
                  <wp:posOffset>765175</wp:posOffset>
                </wp:positionV>
                <wp:extent cx="426720" cy="251460"/>
                <wp:effectExtent l="0" t="0" r="0" b="0"/>
                <wp:wrapNone/>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 cy="251460"/>
                        </a:xfrm>
                        <a:prstGeom prst="rect">
                          <a:avLst/>
                        </a:prstGeom>
                        <a:noFill/>
                        <a:ln w="9525">
                          <a:noFill/>
                          <a:miter lim="800000"/>
                        </a:ln>
                      </wps:spPr>
                      <wps:txbx>
                        <w:txbxContent>
                          <w:p w:rsidR="0055216E" w:rsidRDefault="00954509">
                            <w:pPr>
                              <w:spacing w:after="180"/>
                              <w:rPr>
                                <w:b/>
                              </w:rPr>
                            </w:pPr>
                            <w:r>
                              <w:rPr>
                                <w:b/>
                              </w:rPr>
                              <w:t>FR2</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文本框 2" o:spid="_x0000_s1026" o:spt="202" type="#_x0000_t202" style="position:absolute;left:0pt;margin-left:307.9pt;margin-top:60.25pt;height:19.8pt;width:33.6pt;z-index:251662336;mso-width-relative:page;mso-height-relative:page;" filled="f" stroked="f" coordsize="21600,21600" o:gfxdata="UEsDBAoAAAAAAIdO4kAAAAAAAAAAAAAAAAAEAAAAZHJzL1BLAwQUAAAACACHTuJAiAxKkdcAAAAL&#10;AQAADwAAAGRycy9kb3ducmV2LnhtbE2PzU7DMBCE70i8g7VI3KidQqIS4vQA4gqi/EjctvE2iYjX&#10;Uew24e1ZTnDcmdHsN9V28YM60RT7wBaylQFF3ATXc2vh7fXxagMqJmSHQ2Cy8E0RtvX5WYWlCzO/&#10;0GmXWiUlHEu00KU0llrHpiOPcRVGYvEOYfKY5Jxa7SacpdwPem1MoT32LB86HOm+o+Zrd/QW3p8O&#10;nx835rl98Pk4h8Vo9rfa2suLzNyBSrSkvzD84gs61MK0D0d2UQ0WiiwX9CTG2uSgJFFsrmXdXpTC&#10;ZKDrSv/fUP8AUEsDBBQAAAAIAIdO4kDOUsaIIgIAACkEAAAOAAAAZHJzL2Uyb0RvYy54bWytU82O&#10;0zAQviPxDpbvNE3Ult2o6WrZahHS8iMtPIDrOI2F7TG226Q8ALwBJy7cea4+B2MnW6rlsgdyiGyP&#10;55v5vvm8vOq1InvhvART0XwypUQYDrU024p++nj74oISH5ipmQIjKnoQnl6tnj9bdrYUBbSgauEI&#10;ghhfdraibQi2zDLPW6GZn4AVBoMNOM0Cbt02qx3rEF2rrJhOF1kHrrYOuPAeT9dDkI6I7imA0DSS&#10;izXwnRYmDKhOKBaQkm+l9XSVum0awcP7pvEiEFVRZBrSH4vgehP/2WrJyq1jtpV8bIE9pYVHnDST&#10;BoueoNYsMLJz8h8oLbkDD02YcNDZQCQpgizy6SNt7ltmReKCUnt7Et3/P1j+bv/BEVlXtCgoMUzj&#10;xI8/vh9//j7++kaKqE9nfYnX7i1eDP0r6NE1iau3d8A/e2LgpmVmK66dg64VrMb+8piZnaUOOD6C&#10;bLq3UGMdtguQgPrG6SgeykEQHWdzOM1G9IFwPJwVi5cFRjiGink+W6TZZax8SLbOh9cCNImLijoc&#10;fQJn+zsfYjOsfLgSaxm4lUql8StDuopezot5SjiLaBnQ60rqil5M45dYsVKZkVzkMzAL/aYfxdpA&#10;fUCaDga34VvDRQvuKyUdOq2i/suOOUGJemNQqst8NovWTJvZPLF055HNeYQZjlAVDZQMy5uQ7Dxw&#10;ukZJG5noRu2HTsZe0UFJhdHt0aLn+3Tr7wtf/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IDEqR&#10;1wAAAAsBAAAPAAAAAAAAAAEAIAAAACIAAABkcnMvZG93bnJldi54bWxQSwECFAAUAAAACACHTuJA&#10;zlLGiCICAAApBAAADgAAAAAAAAABACAAAAAmAQAAZHJzL2Uyb0RvYy54bWxQSwUGAAAAAAYABgBZ&#10;AQAAugUAAAAA&#10;">
                <v:fill on="f" focussize="0,0"/>
                <v:stroke on="f" miterlimit="8" joinstyle="miter"/>
                <v:imagedata o:title=""/>
                <o:lock v:ext="edit" aspectratio="f"/>
                <v:textbox>
                  <w:txbxContent>
                    <w:p>
                      <w:pPr>
                        <w:spacing w:after="180"/>
                        <w:rPr>
                          <w:b/>
                        </w:rPr>
                      </w:pPr>
                      <w:r>
                        <w:rPr>
                          <w:b/>
                        </w:rPr>
                        <w:t>FR2</w:t>
                      </w:r>
                    </w:p>
                  </w:txbxContent>
                </v:textbox>
              </v:shape>
            </w:pict>
          </mc:Fallback>
        </mc:AlternateContent>
      </w:r>
      <w:r>
        <w:rPr>
          <w:rFonts w:eastAsia="宋体"/>
          <w:noProof/>
          <w:sz w:val="22"/>
          <w:szCs w:val="22"/>
          <w:lang w:val="en-GB"/>
        </w:rPr>
        <mc:AlternateContent>
          <mc:Choice Requires="wps">
            <w:drawing>
              <wp:anchor distT="45720" distB="45720" distL="114300" distR="114300" simplePos="0" relativeHeight="251661312" behindDoc="0" locked="0" layoutInCell="1" allowOverlap="1">
                <wp:simplePos x="0" y="0"/>
                <wp:positionH relativeFrom="column">
                  <wp:posOffset>1100455</wp:posOffset>
                </wp:positionH>
                <wp:positionV relativeFrom="paragraph">
                  <wp:posOffset>763905</wp:posOffset>
                </wp:positionV>
                <wp:extent cx="426720" cy="251460"/>
                <wp:effectExtent l="0" t="0" r="0" b="0"/>
                <wp:wrapNone/>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 cy="251460"/>
                        </a:xfrm>
                        <a:prstGeom prst="rect">
                          <a:avLst/>
                        </a:prstGeom>
                        <a:noFill/>
                        <a:ln w="9525">
                          <a:noFill/>
                          <a:miter lim="800000"/>
                        </a:ln>
                      </wps:spPr>
                      <wps:txbx>
                        <w:txbxContent>
                          <w:p w:rsidR="0055216E" w:rsidRDefault="00954509">
                            <w:pPr>
                              <w:spacing w:after="180"/>
                              <w:rPr>
                                <w:b/>
                              </w:rPr>
                            </w:pPr>
                            <w:r>
                              <w:rPr>
                                <w:b/>
                              </w:rPr>
                              <w:t>FR1</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文本框 2" o:spid="_x0000_s1026" o:spt="202" type="#_x0000_t202" style="position:absolute;left:0pt;margin-left:86.65pt;margin-top:60.15pt;height:19.8pt;width:33.6pt;z-index:251661312;mso-width-relative:page;mso-height-relative:page;" filled="f" stroked="f" coordsize="21600,21600" o:gfxdata="UEsDBAoAAAAAAIdO4kAAAAAAAAAAAAAAAAAEAAAAZHJzL1BLAwQUAAAACACHTuJAObnWDNcAAAAL&#10;AQAADwAAAGRycy9kb3ducmV2LnhtbE2PQU/DMAyF70j8h8hI3Fiybh20NN0BxJWJMSbtljVeW9E4&#10;VZOt5d/jneD2nv30/LlYT64TFxxC60nDfKZAIFXetlRr2H2+PTyBCNGQNZ0n1PCDAdbl7U1hcutH&#10;+sDLNtaCSyjkRkMTY59LGaoGnQkz3yPx7uQHZyLboZZ2MCOXu04mSq2kMy3xhcb0+NJg9b09Ow1f&#10;76fDfqk29atL+9FPSpLLpNb3d3P1DCLiFP/CcMVndCiZ6ejPZIPo2D8uFhxlkSgWnEiWKgVx5Ema&#10;ZSDLQv7/ofwFUEsDBBQAAAAIAIdO4kAGCAMHIgIAACkEAAAOAAAAZHJzL2Uyb0RvYy54bWytU82O&#10;0zAQviPxDpbvNE3Ult2o6WrZahHS8iMtPIDrOI2F7TG226Q8ALwBJy7cea4+B2MnW6rlsgdyiGyP&#10;55v5vvm8vOq1InvhvART0XwypUQYDrU024p++nj74oISH5ipmQIjKnoQnl6tnj9bdrYUBbSgauEI&#10;ghhfdraibQi2zDLPW6GZn4AVBoMNOM0Cbt02qx3rEF2rrJhOF1kHrrYOuPAeT9dDkI6I7imA0DSS&#10;izXwnRYmDKhOKBaQkm+l9XSVum0awcP7pvEiEFVRZBrSH4vgehP/2WrJyq1jtpV8bIE9pYVHnDST&#10;BoueoNYsMLJz8h8oLbkDD02YcNDZQCQpgizy6SNt7ltmReKCUnt7Et3/P1j+bv/BEVlXtMgpMUzj&#10;xI8/vh9//j7++kaKqE9nfYnX7i1eDP0r6NE1iau3d8A/e2LgpmVmK66dg64VrMb+8piZnaUOOD6C&#10;bLq3UGMdtguQgPrG6SgeykEQHWdzOM1G9IFwPJwVi5cFRjiGink+W6TZZax8SLbOh9cCNImLijoc&#10;fQJn+zsfYjOsfLgSaxm4lUql8StDuopezot5SjiLaBnQ60rqil5M45dYsVKZkVzkMzAL/aYfxdpA&#10;fUCaDga34VvDRQvuKyUdOq2i/suOOUGJemNQqst8NovWTJvZPLF055HNeYQZjlAVDZQMy5uQ7Dxw&#10;ukZJG5noRu2HTsZe0UFJhdHt0aLn+3Tr7wtf/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5udYM&#10;1wAAAAsBAAAPAAAAAAAAAAEAIAAAACIAAABkcnMvZG93bnJldi54bWxQSwECFAAUAAAACACHTuJA&#10;BggDByICAAApBAAADgAAAAAAAAABACAAAAAmAQAAZHJzL2Uyb0RvYy54bWxQSwUGAAAAAAYABgBZ&#10;AQAAugUAAAAA&#10;">
                <v:fill on="f" focussize="0,0"/>
                <v:stroke on="f" miterlimit="8" joinstyle="miter"/>
                <v:imagedata o:title=""/>
                <o:lock v:ext="edit" aspectratio="f"/>
                <v:textbox>
                  <w:txbxContent>
                    <w:p>
                      <w:pPr>
                        <w:spacing w:after="180"/>
                        <w:rPr>
                          <w:b/>
                        </w:rPr>
                      </w:pPr>
                      <w:r>
                        <w:rPr>
                          <w:b/>
                        </w:rPr>
                        <w:t>FR1</w:t>
                      </w:r>
                    </w:p>
                  </w:txbxContent>
                </v:textbox>
              </v:shape>
            </w:pict>
          </mc:Fallback>
        </mc:AlternateContent>
      </w:r>
      <w:r>
        <w:rPr>
          <w:noProof/>
        </w:rPr>
        <w:drawing>
          <wp:inline distT="0" distB="0" distL="0" distR="0">
            <wp:extent cx="2519680" cy="2159635"/>
            <wp:effectExtent l="0" t="0" r="0" b="0"/>
            <wp:docPr id="19" name="图片 1"/>
            <wp:cNvGraphicFramePr/>
            <a:graphic xmlns:a="http://schemas.openxmlformats.org/drawingml/2006/main">
              <a:graphicData uri="http://schemas.openxmlformats.org/drawingml/2006/picture">
                <pic:pic xmlns:pic="http://schemas.openxmlformats.org/drawingml/2006/picture">
                  <pic:nvPicPr>
                    <pic:cNvPr id="19" name="图片 1"/>
                    <pic:cNvPicPr/>
                  </pic:nvPicPr>
                  <pic:blipFill>
                    <a:blip r:embed="rId14"/>
                    <a:srcRect l="4868" r="7508"/>
                    <a:stretch>
                      <a:fillRect/>
                    </a:stretch>
                  </pic:blipFill>
                  <pic:spPr>
                    <a:xfrm>
                      <a:off x="0" y="0"/>
                      <a:ext cx="2520000" cy="2160000"/>
                    </a:xfrm>
                    <a:prstGeom prst="rect">
                      <a:avLst/>
                    </a:prstGeom>
                    <a:noFill/>
                    <a:ln>
                      <a:noFill/>
                    </a:ln>
                  </pic:spPr>
                </pic:pic>
              </a:graphicData>
            </a:graphic>
          </wp:inline>
        </w:drawing>
      </w:r>
      <w:r>
        <w:rPr>
          <w:rFonts w:eastAsia="宋体"/>
          <w:sz w:val="22"/>
          <w:szCs w:val="22"/>
          <w:lang w:val="en-GB"/>
        </w:rPr>
        <w:t xml:space="preserve">    </w:t>
      </w:r>
      <w:r>
        <w:rPr>
          <w:noProof/>
        </w:rPr>
        <w:drawing>
          <wp:inline distT="0" distB="0" distL="0" distR="0">
            <wp:extent cx="2519680" cy="2159635"/>
            <wp:effectExtent l="0" t="0" r="0" b="0"/>
            <wp:docPr id="20" name="图片 2"/>
            <wp:cNvGraphicFramePr/>
            <a:graphic xmlns:a="http://schemas.openxmlformats.org/drawingml/2006/main">
              <a:graphicData uri="http://schemas.openxmlformats.org/drawingml/2006/picture">
                <pic:pic xmlns:pic="http://schemas.openxmlformats.org/drawingml/2006/picture">
                  <pic:nvPicPr>
                    <pic:cNvPr id="20" name="图片 2"/>
                    <pic:cNvPicPr/>
                  </pic:nvPicPr>
                  <pic:blipFill>
                    <a:blip r:embed="rId15"/>
                    <a:srcRect l="4994" r="8132"/>
                    <a:stretch>
                      <a:fillRect/>
                    </a:stretch>
                  </pic:blipFill>
                  <pic:spPr>
                    <a:xfrm>
                      <a:off x="0" y="0"/>
                      <a:ext cx="2520000" cy="2160000"/>
                    </a:xfrm>
                    <a:prstGeom prst="rect">
                      <a:avLst/>
                    </a:prstGeom>
                    <a:noFill/>
                    <a:ln>
                      <a:noFill/>
                    </a:ln>
                  </pic:spPr>
                </pic:pic>
              </a:graphicData>
            </a:graphic>
          </wp:inline>
        </w:drawing>
      </w:r>
    </w:p>
    <w:p w:rsidR="0055216E" w:rsidRDefault="00954509">
      <w:pPr>
        <w:adjustRightInd w:val="0"/>
        <w:spacing w:after="180"/>
        <w:jc w:val="center"/>
        <w:rPr>
          <w:rFonts w:eastAsia="宋体"/>
          <w:szCs w:val="20"/>
        </w:rPr>
      </w:pPr>
      <w:r>
        <w:rPr>
          <w:rFonts w:eastAsia="宋体" w:hint="eastAsia"/>
          <w:b/>
          <w:bCs/>
          <w:szCs w:val="20"/>
        </w:rPr>
        <w:t xml:space="preserve">Figure </w:t>
      </w:r>
      <w:r>
        <w:rPr>
          <w:rFonts w:eastAsia="宋体"/>
          <w:b/>
          <w:bCs/>
          <w:szCs w:val="20"/>
        </w:rPr>
        <w:t>5</w:t>
      </w:r>
      <w:r>
        <w:rPr>
          <w:rFonts w:eastAsia="宋体" w:hint="eastAsia"/>
          <w:szCs w:val="20"/>
        </w:rPr>
        <w:tab/>
        <w:t>SLS results of PL</w:t>
      </w:r>
      <w:r>
        <w:rPr>
          <w:rFonts w:eastAsia="宋体"/>
          <w:szCs w:val="20"/>
        </w:rPr>
        <w:t xml:space="preserve"> offset </w:t>
      </w:r>
      <w:r>
        <w:rPr>
          <w:rFonts w:eastAsia="宋体" w:hint="eastAsia"/>
          <w:szCs w:val="20"/>
        </w:rPr>
        <w:t>between</w:t>
      </w:r>
      <w:r>
        <w:rPr>
          <w:rFonts w:eastAsia="宋体"/>
          <w:szCs w:val="20"/>
        </w:rPr>
        <w:t xml:space="preserve"> DL TRP</w:t>
      </w:r>
      <w:r>
        <w:rPr>
          <w:rFonts w:eastAsia="宋体" w:hint="eastAsia"/>
          <w:szCs w:val="20"/>
        </w:rPr>
        <w:t xml:space="preserve"> and</w:t>
      </w:r>
      <w:r>
        <w:rPr>
          <w:rFonts w:eastAsia="宋体"/>
          <w:szCs w:val="20"/>
        </w:rPr>
        <w:t xml:space="preserve"> UL TRP</w:t>
      </w:r>
      <w:r>
        <w:rPr>
          <w:rFonts w:eastAsia="宋体" w:hint="eastAsia"/>
          <w:szCs w:val="20"/>
        </w:rPr>
        <w:t xml:space="preserve"> in </w:t>
      </w:r>
      <w:r>
        <w:rPr>
          <w:rFonts w:eastAsia="宋体"/>
          <w:szCs w:val="20"/>
        </w:rPr>
        <w:t xml:space="preserve">(a) </w:t>
      </w:r>
      <w:r>
        <w:rPr>
          <w:rFonts w:eastAsia="宋体" w:hint="eastAsia"/>
          <w:szCs w:val="20"/>
        </w:rPr>
        <w:t xml:space="preserve">asymmetric </w:t>
      </w:r>
      <w:r>
        <w:rPr>
          <w:rFonts w:eastAsia="宋体"/>
          <w:szCs w:val="20"/>
        </w:rPr>
        <w:t>HetNet</w:t>
      </w:r>
      <w:r>
        <w:rPr>
          <w:rFonts w:eastAsia="宋体" w:hint="eastAsia"/>
          <w:szCs w:val="20"/>
        </w:rPr>
        <w:t xml:space="preserve"> </w:t>
      </w:r>
      <w:r>
        <w:rPr>
          <w:rFonts w:eastAsia="宋体"/>
          <w:szCs w:val="20"/>
        </w:rPr>
        <w:t xml:space="preserve">deployment </w:t>
      </w:r>
      <w:r>
        <w:rPr>
          <w:rFonts w:eastAsia="宋体" w:hint="eastAsia"/>
          <w:szCs w:val="20"/>
        </w:rPr>
        <w:t>scenario</w:t>
      </w:r>
    </w:p>
    <w:p w:rsidR="0055216E" w:rsidRDefault="00954509">
      <w:pPr>
        <w:adjustRightInd w:val="0"/>
        <w:spacing w:beforeLines="50" w:before="180" w:beforeAutospacing="0" w:after="180"/>
        <w:jc w:val="center"/>
        <w:rPr>
          <w:rFonts w:eastAsia="宋体"/>
          <w:sz w:val="22"/>
          <w:szCs w:val="22"/>
        </w:rPr>
      </w:pPr>
      <w:r>
        <w:rPr>
          <w:rFonts w:eastAsia="宋体"/>
          <w:noProof/>
          <w:sz w:val="22"/>
          <w:szCs w:val="22"/>
          <w:lang w:val="en-GB"/>
        </w:rPr>
        <w:lastRenderedPageBreak/>
        <mc:AlternateContent>
          <mc:Choice Requires="wps">
            <w:drawing>
              <wp:anchor distT="45720" distB="45720" distL="114300" distR="114300" simplePos="0" relativeHeight="251659264" behindDoc="0" locked="0" layoutInCell="1" allowOverlap="1">
                <wp:simplePos x="0" y="0"/>
                <wp:positionH relativeFrom="column">
                  <wp:posOffset>3971290</wp:posOffset>
                </wp:positionH>
                <wp:positionV relativeFrom="paragraph">
                  <wp:posOffset>1143000</wp:posOffset>
                </wp:positionV>
                <wp:extent cx="426720" cy="251460"/>
                <wp:effectExtent l="0" t="0" r="0" b="0"/>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 cy="251460"/>
                        </a:xfrm>
                        <a:prstGeom prst="rect">
                          <a:avLst/>
                        </a:prstGeom>
                        <a:noFill/>
                        <a:ln w="9525">
                          <a:noFill/>
                          <a:miter lim="800000"/>
                        </a:ln>
                      </wps:spPr>
                      <wps:txbx>
                        <w:txbxContent>
                          <w:p w:rsidR="0055216E" w:rsidRDefault="00954509">
                            <w:pPr>
                              <w:spacing w:after="180"/>
                              <w:rPr>
                                <w:b/>
                              </w:rPr>
                            </w:pPr>
                            <w:r>
                              <w:rPr>
                                <w:b/>
                              </w:rPr>
                              <w:t>FR2</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文本框 2" o:spid="_x0000_s1026" o:spt="202" type="#_x0000_t202" style="position:absolute;left:0pt;margin-left:312.7pt;margin-top:90pt;height:19.8pt;width:33.6pt;z-index:251659264;mso-width-relative:page;mso-height-relative:page;" filled="f" stroked="f" coordsize="21600,21600" o:gfxdata="UEsDBAoAAAAAAIdO4kAAAAAAAAAAAAAAAAAEAAAAZHJzL1BLAwQUAAAACACHTuJAR/nNadcAAAAL&#10;AQAADwAAAGRycy9kb3ducmV2LnhtbE2PwU7DMBBE70j8g7VI3KidqLWaEKcHEFcQpSBxc+NtEhGv&#10;o9htwt+znOC4mqfZN9Vu8YO44BT7QAaylQKB1ATXU2vg8PZ0twURkyVnh0Bo4Bsj7Orrq8qWLsz0&#10;ipd9agWXUCytgS6lsZQyNh16G1dhROLsFCZvE59TK91kZy73g8yV0tLbnvhDZ0d86LD52p+9gffn&#10;0+fHWr20j34zzmFRknwhjbm9ydQ9iIRL+oPhV5/VoWanYziTi2IwoPPNmlEOtopHMaGLXIM4Gsiz&#10;QoOsK/l/Q/0DUEsDBBQAAAAIAIdO4kDb75YLIQIAACgEAAAOAAAAZHJzL2Uyb0RvYy54bWytU82O&#10;0zAQviPxDpbvNE3Ult2o6WrZahHS8iMtPIDrOI2F7TG226Q8ALwBJy7cea4+B2MnW6rlsgdyiGyP&#10;55v5vvm8vOq1InvhvART0XwypUQYDrU024p++nj74oISH5ipmQIjKnoQnl6tnj9bdrYUBbSgauEI&#10;ghhfdraibQi2zDLPW6GZn4AVBoMNOM0Cbt02qx3rEF2rrJhOF1kHrrYOuPAeT9dDkI6I7imA0DSS&#10;izXwnRYmDKhOKBaQkm+l9XSVum0awcP7pvEiEFVRZBrSH4vgehP/2WrJyq1jtpV8bIE9pYVHnDST&#10;BoueoNYsMLJz8h8oLbkDD02YcNDZQCQpgizy6SNt7ltmReKCUnt7Et3/P1j+bv/BEVlXdEGJYRoH&#10;fvzx/fjz9/HXN1JEeTrrS7x1b/Fe6F9Bj6ZJVL29A/7ZEwM3LTNbce0cdK1gNbaXx8zsLHXA8RFk&#10;072FGuuwXYAE1DdOR+1QDYLoOJrDaTSiD4Tj4axYvCwwwjFUzPPZIo0uY+VDsnU+vBagSVxU1OHk&#10;Ezjb3/kQm2Hlw5VYy8CtVCpNXxnSVfRyXsxTwllEy4BWV1JX9GIav8SKlcqM5CKfgVnoN/0o1gbq&#10;A9J0MJgNnxouWnBfKenQaBX1X3bMCUrUG4NSXeazWXRm2szmiaU7j2zOI8xwhKpooGRY3oTk5oHT&#10;NUrayEQ3aj90MvaKBkoqjGaPDj3fp1t/H/jq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f5zWnX&#10;AAAACwEAAA8AAAAAAAAAAQAgAAAAIgAAAGRycy9kb3ducmV2LnhtbFBLAQIUABQAAAAIAIdO4kDb&#10;75YLIQIAACgEAAAOAAAAAAAAAAEAIAAAACYBAABkcnMvZTJvRG9jLnhtbFBLBQYAAAAABgAGAFkB&#10;AAC5BQAAAAA=&#10;">
                <v:fill on="f" focussize="0,0"/>
                <v:stroke on="f" miterlimit="8" joinstyle="miter"/>
                <v:imagedata o:title=""/>
                <o:lock v:ext="edit" aspectratio="f"/>
                <v:textbox>
                  <w:txbxContent>
                    <w:p>
                      <w:pPr>
                        <w:spacing w:after="180"/>
                        <w:rPr>
                          <w:b/>
                        </w:rPr>
                      </w:pPr>
                      <w:r>
                        <w:rPr>
                          <w:b/>
                        </w:rPr>
                        <w:t>FR2</w:t>
                      </w:r>
                    </w:p>
                  </w:txbxContent>
                </v:textbox>
              </v:shape>
            </w:pict>
          </mc:Fallback>
        </mc:AlternateContent>
      </w:r>
      <w:r>
        <w:rPr>
          <w:rFonts w:eastAsia="宋体"/>
          <w:noProof/>
          <w:sz w:val="22"/>
          <w:szCs w:val="22"/>
          <w:lang w:val="en-GB"/>
        </w:rPr>
        <mc:AlternateContent>
          <mc:Choice Requires="wps">
            <w:drawing>
              <wp:anchor distT="45720" distB="45720" distL="114300" distR="114300" simplePos="0" relativeHeight="251660288" behindDoc="0" locked="0" layoutInCell="1" allowOverlap="1">
                <wp:simplePos x="0" y="0"/>
                <wp:positionH relativeFrom="column">
                  <wp:posOffset>1070610</wp:posOffset>
                </wp:positionH>
                <wp:positionV relativeFrom="paragraph">
                  <wp:posOffset>1149985</wp:posOffset>
                </wp:positionV>
                <wp:extent cx="426720" cy="251460"/>
                <wp:effectExtent l="0" t="0" r="0" b="0"/>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 cy="251460"/>
                        </a:xfrm>
                        <a:prstGeom prst="rect">
                          <a:avLst/>
                        </a:prstGeom>
                        <a:noFill/>
                        <a:ln w="9525">
                          <a:noFill/>
                          <a:miter lim="800000"/>
                        </a:ln>
                      </wps:spPr>
                      <wps:txbx>
                        <w:txbxContent>
                          <w:p w:rsidR="0055216E" w:rsidRDefault="00954509">
                            <w:pPr>
                              <w:spacing w:after="180"/>
                              <w:rPr>
                                <w:b/>
                              </w:rPr>
                            </w:pPr>
                            <w:r>
                              <w:rPr>
                                <w:b/>
                              </w:rPr>
                              <w:t>FR1</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文本框 2" o:spid="_x0000_s1026" o:spt="202" type="#_x0000_t202" style="position:absolute;left:0pt;margin-left:84.3pt;margin-top:90.55pt;height:19.8pt;width:33.6pt;z-index:251660288;mso-width-relative:page;mso-height-relative:page;" filled="f" stroked="f" coordsize="21600,21600" o:gfxdata="UEsDBAoAAAAAAIdO4kAAAAAAAAAAAAAAAAAEAAAAZHJzL1BLAwQUAAAACACHTuJADFpQSNcAAAAL&#10;AQAADwAAAGRycy9kb3ducmV2LnhtbE2PzU7DMBCE70h9B2uRuFE7gYYQ4vRQxBVE+ZG4ufE2iYjX&#10;Uew26dt3OdHbjPbT7Ey5nl0vjjiGzpOGZKlAINXedtRo+Px4uc1BhGjImt4TajhhgHW1uCpNYf1E&#10;73jcxkZwCIXCaGhjHAopQ92iM2HpByS+7f3oTGQ7NtKOZuJw18tUqUw60xF/aM2Amxbr3+3Bafh6&#10;3f9836u35tmthsnPSpJ7lFrfXCfqCUTEOf7D8Fefq0PFnXb+QDaInn2WZ4yyyJMEBBPp3YrH7Fik&#10;6gFkVcrLDdUZUEsDBBQAAAAIAIdO4kBjJipxIQIAACgEAAAOAAAAZHJzL2Uyb0RvYy54bWytU0Fu&#10;2zAQvBfoHwjea9mC7SSC5SCNkaJA2gZI+wCaoiyiJJclaUvuA9of5NRL732X35ElpbhGesmhOggk&#10;lzu7MztcXHZakZ1wXoIp6WQ0pkQYDpU0m5J++Xzz5pwSH5ipmAIjSroXnl4uX79atLYQOTSgKuEI&#10;ghhftLakTQi2yDLPG6GZH4EVBoM1OM0Cbt0mqxxrEV2rLB+P51kLrrIOuPAeT1d9kA6I7iWAUNeS&#10;ixXwrRYm9KhOKBaQkm+k9XSZuq1rwcOnuvYiEFVSZBrSH4vgeh3/2XLBio1jtpF8aIG9pIVnnDST&#10;BoseoVYsMLJ18h8oLbkDD3UYcdBZTyQpgiwm42fa3DfMisQFpfb2KLr/f7D84+7OEVmV9IwSwzQO&#10;/PDw8/Drz+H3D5JHeVrrC7x1b/Fe6N5Ch6ZJVL29Bf7VEwPXDTMbceUctI1gFbY3iZnZSWqP4yPI&#10;uv0AFdZh2wAJqKudjtqhGgTRcTT742hEFwjHw2k+P8sxwjGUzybTeRpdxoqnZOt8eCdAk7goqcPJ&#10;J3C2u/UhNsOKpyuxloEbqVSavjKkLenFLJ+lhJOIlgGtrqQu6fk4fokVK5QZyEU+PbPQrbtBrDVU&#10;e6TpoDcbPjVcNOC+U9Ki0Urqv22ZE5So9waluphMp9GZaTOdJZbuNLI+jTDDEaqkgZJ+eR2Sm3tO&#10;VyhpLRPdqH3fydArGiipMJg9OvR0n279feDLR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xaUEjX&#10;AAAACwEAAA8AAAAAAAAAAQAgAAAAIgAAAGRycy9kb3ducmV2LnhtbFBLAQIUABQAAAAIAIdO4kBj&#10;JipxIQIAACgEAAAOAAAAAAAAAAEAIAAAACYBAABkcnMvZTJvRG9jLnhtbFBLBQYAAAAABgAGAFkB&#10;AAC5BQAAAAA=&#10;">
                <v:fill on="f" focussize="0,0"/>
                <v:stroke on="f" miterlimit="8" joinstyle="miter"/>
                <v:imagedata o:title=""/>
                <o:lock v:ext="edit" aspectratio="f"/>
                <v:textbox>
                  <w:txbxContent>
                    <w:p>
                      <w:pPr>
                        <w:spacing w:after="180"/>
                        <w:rPr>
                          <w:b/>
                        </w:rPr>
                      </w:pPr>
                      <w:r>
                        <w:rPr>
                          <w:b/>
                        </w:rPr>
                        <w:t>FR1</w:t>
                      </w:r>
                    </w:p>
                  </w:txbxContent>
                </v:textbox>
              </v:shape>
            </w:pict>
          </mc:Fallback>
        </mc:AlternateContent>
      </w:r>
      <w:r>
        <w:rPr>
          <w:noProof/>
        </w:rPr>
        <w:drawing>
          <wp:inline distT="0" distB="0" distL="0" distR="0">
            <wp:extent cx="2544445" cy="2171700"/>
            <wp:effectExtent l="0" t="0" r="8255"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16"/>
                    <a:srcRect l="4549" r="7509"/>
                    <a:stretch>
                      <a:fillRect/>
                    </a:stretch>
                  </pic:blipFill>
                  <pic:spPr>
                    <a:xfrm>
                      <a:off x="0" y="0"/>
                      <a:ext cx="2545763" cy="2173219"/>
                    </a:xfrm>
                    <a:prstGeom prst="rect">
                      <a:avLst/>
                    </a:prstGeom>
                    <a:noFill/>
                    <a:ln>
                      <a:noFill/>
                    </a:ln>
                  </pic:spPr>
                </pic:pic>
              </a:graphicData>
            </a:graphic>
          </wp:inline>
        </w:drawing>
      </w:r>
      <w:r>
        <w:rPr>
          <w:rFonts w:eastAsia="宋体"/>
          <w:sz w:val="22"/>
          <w:szCs w:val="22"/>
        </w:rPr>
        <w:t xml:space="preserve">    </w:t>
      </w:r>
      <w:r>
        <w:rPr>
          <w:noProof/>
        </w:rPr>
        <w:drawing>
          <wp:inline distT="0" distB="0" distL="0" distR="0">
            <wp:extent cx="2545715" cy="2178050"/>
            <wp:effectExtent l="0" t="0" r="698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7"/>
                    <a:srcRect l="4120" r="7627"/>
                    <a:stretch>
                      <a:fillRect/>
                    </a:stretch>
                  </pic:blipFill>
                  <pic:spPr>
                    <a:xfrm>
                      <a:off x="0" y="0"/>
                      <a:ext cx="2549477" cy="2181382"/>
                    </a:xfrm>
                    <a:prstGeom prst="rect">
                      <a:avLst/>
                    </a:prstGeom>
                    <a:noFill/>
                    <a:ln>
                      <a:noFill/>
                    </a:ln>
                  </pic:spPr>
                </pic:pic>
              </a:graphicData>
            </a:graphic>
          </wp:inline>
        </w:drawing>
      </w:r>
    </w:p>
    <w:p w:rsidR="0055216E" w:rsidRDefault="00954509">
      <w:pPr>
        <w:adjustRightInd w:val="0"/>
        <w:spacing w:after="180"/>
        <w:jc w:val="center"/>
        <w:rPr>
          <w:rFonts w:eastAsia="宋体"/>
          <w:szCs w:val="20"/>
        </w:rPr>
      </w:pPr>
      <w:r>
        <w:rPr>
          <w:rFonts w:eastAsia="宋体"/>
          <w:b/>
          <w:bCs/>
          <w:szCs w:val="20"/>
        </w:rPr>
        <w:t>Figure 6</w:t>
      </w:r>
      <w:r>
        <w:rPr>
          <w:rFonts w:eastAsia="宋体"/>
          <w:szCs w:val="20"/>
        </w:rPr>
        <w:tab/>
        <w:t>SLS results of PL offset between DL TRP and UL TRP in (b) UL-only deployment scenario</w:t>
      </w:r>
    </w:p>
    <w:p w:rsidR="0055216E" w:rsidRDefault="00954509">
      <w:pPr>
        <w:adjustRightInd w:val="0"/>
        <w:spacing w:beforeLines="50" w:before="180" w:beforeAutospacing="0" w:after="180"/>
        <w:jc w:val="both"/>
        <w:rPr>
          <w:rFonts w:eastAsia="宋体"/>
          <w:szCs w:val="20"/>
        </w:rPr>
      </w:pPr>
      <w:r>
        <w:rPr>
          <w:rFonts w:eastAsia="宋体"/>
          <w:szCs w:val="20"/>
        </w:rPr>
        <w:t>In order to fully enable PL offset in both asymmetric HetNet deployment and UL-only TRP deployment, the value range of PL offset should at least be {-60, 60} dB. Besides, it can be further discussed how to specify the value granularity of PL offset that configured by RRC and updated by MAC CE, in where RAN2 may need to be involved in.</w:t>
      </w:r>
    </w:p>
    <w:p w:rsidR="0055216E" w:rsidRDefault="00954509">
      <w:pPr>
        <w:adjustRightInd w:val="0"/>
        <w:spacing w:beforeLines="50" w:before="180" w:beforeAutospacing="0" w:afterLines="0" w:after="0"/>
        <w:jc w:val="both"/>
        <w:rPr>
          <w:rFonts w:eastAsia="宋体"/>
          <w:i/>
          <w:iCs/>
          <w:szCs w:val="20"/>
        </w:rPr>
      </w:pPr>
      <w:r>
        <w:rPr>
          <w:rFonts w:eastAsia="宋体"/>
          <w:b/>
          <w:bCs/>
          <w:i/>
          <w:iCs/>
          <w:szCs w:val="20"/>
        </w:rPr>
        <w:t>Proposal 5:</w:t>
      </w:r>
      <w:r>
        <w:rPr>
          <w:rFonts w:eastAsia="宋体"/>
          <w:i/>
          <w:iCs/>
          <w:szCs w:val="20"/>
        </w:rPr>
        <w:t xml:space="preserve"> </w:t>
      </w:r>
      <w:r>
        <w:rPr>
          <w:rFonts w:eastAsia="等线"/>
          <w:i/>
          <w:szCs w:val="20"/>
          <w:lang w:val="en-GB"/>
        </w:rPr>
        <w:t>Support that the value range of PL offset is {-60, 60} dB, where PL offset = DL PL – UL PL</w:t>
      </w:r>
      <w:r>
        <w:rPr>
          <w:rFonts w:eastAsia="宋体"/>
          <w:i/>
          <w:iCs/>
          <w:szCs w:val="20"/>
        </w:rPr>
        <w:t>.</w:t>
      </w:r>
    </w:p>
    <w:p w:rsidR="0055216E" w:rsidRDefault="00954509">
      <w:pPr>
        <w:pStyle w:val="aff2"/>
        <w:numPr>
          <w:ilvl w:val="0"/>
          <w:numId w:val="10"/>
        </w:numPr>
        <w:spacing w:beforeLines="0" w:before="0" w:afterLines="0" w:after="0" w:line="240" w:lineRule="auto"/>
        <w:ind w:leftChars="0"/>
        <w:rPr>
          <w:rFonts w:ascii="Times New Roman" w:eastAsia="宋体" w:hAnsi="Times New Roman"/>
          <w:i/>
          <w:szCs w:val="20"/>
        </w:rPr>
      </w:pPr>
      <w:r>
        <w:rPr>
          <w:rFonts w:ascii="Times New Roman" w:eastAsia="宋体" w:hAnsi="Times New Roman"/>
          <w:i/>
          <w:iCs/>
          <w:szCs w:val="20"/>
        </w:rPr>
        <w:t>FFS: The value granularity of PL offset that configured by RRC and updated by MAC CE</w:t>
      </w:r>
      <w:r>
        <w:rPr>
          <w:rFonts w:ascii="Times New Roman" w:eastAsia="宋体" w:hAnsi="Times New Roman"/>
          <w:i/>
          <w:szCs w:val="20"/>
        </w:rPr>
        <w:t>.</w:t>
      </w:r>
    </w:p>
    <w:p w:rsidR="0055216E" w:rsidRDefault="00954509">
      <w:pPr>
        <w:adjustRightInd w:val="0"/>
        <w:spacing w:beforeLines="50" w:before="180" w:beforeAutospacing="0" w:after="180"/>
        <w:jc w:val="both"/>
        <w:rPr>
          <w:rFonts w:eastAsia="宋体"/>
          <w:szCs w:val="20"/>
        </w:rPr>
      </w:pPr>
      <w:r>
        <w:rPr>
          <w:rFonts w:eastAsia="宋体"/>
          <w:szCs w:val="20"/>
          <w:lang w:val="en-GB"/>
        </w:rPr>
        <w:t xml:space="preserve">Regarding the dependency between PL offset and PHR calculation, </w:t>
      </w:r>
      <w:r>
        <w:rPr>
          <w:rFonts w:eastAsia="宋体"/>
          <w:szCs w:val="20"/>
        </w:rPr>
        <w:t>we have the following elaborations:</w:t>
      </w:r>
    </w:p>
    <w:p w:rsidR="0055216E" w:rsidRDefault="00954509">
      <w:pPr>
        <w:pStyle w:val="aff2"/>
        <w:numPr>
          <w:ilvl w:val="0"/>
          <w:numId w:val="17"/>
        </w:numPr>
        <w:spacing w:beforeLines="50" w:before="180" w:after="108"/>
        <w:ind w:leftChars="0"/>
        <w:rPr>
          <w:rFonts w:ascii="Times New Roman" w:eastAsia="宋体" w:hAnsi="Times New Roman"/>
          <w:szCs w:val="20"/>
        </w:rPr>
      </w:pPr>
      <w:r>
        <w:rPr>
          <w:rFonts w:ascii="Times New Roman" w:eastAsia="宋体" w:hAnsi="Times New Roman"/>
          <w:szCs w:val="20"/>
        </w:rPr>
        <w:t>For Type 1</w:t>
      </w:r>
      <w:r w:rsidR="008D6CBD">
        <w:rPr>
          <w:rFonts w:ascii="Times New Roman" w:eastAsia="宋体" w:hAnsi="Times New Roman"/>
          <w:szCs w:val="20"/>
        </w:rPr>
        <w:t xml:space="preserve"> </w:t>
      </w:r>
      <w:r>
        <w:rPr>
          <w:rFonts w:ascii="Times New Roman" w:eastAsia="宋体" w:hAnsi="Times New Roman"/>
          <w:szCs w:val="20"/>
        </w:rPr>
        <w:t xml:space="preserve">PHR, it is natural to take PL offset into account, no matter for actual or reference PUSCH transmission, due to both of them are enabled under </w:t>
      </w:r>
      <w:r>
        <w:rPr>
          <w:rFonts w:ascii="Times New Roman" w:hAnsi="Times New Roman"/>
          <w:szCs w:val="20"/>
          <w:lang w:eastAsia="en-US"/>
        </w:rPr>
        <w:t>Rel-17/18 unified TCI framework.</w:t>
      </w:r>
    </w:p>
    <w:p w:rsidR="0055216E" w:rsidRDefault="00954509">
      <w:pPr>
        <w:pStyle w:val="aff2"/>
        <w:numPr>
          <w:ilvl w:val="0"/>
          <w:numId w:val="17"/>
        </w:numPr>
        <w:spacing w:beforeLines="50" w:before="180" w:after="108"/>
        <w:ind w:leftChars="0"/>
        <w:rPr>
          <w:rFonts w:ascii="Times New Roman" w:eastAsia="宋体" w:hAnsi="Times New Roman"/>
          <w:szCs w:val="20"/>
        </w:rPr>
      </w:pPr>
      <w:r>
        <w:rPr>
          <w:rFonts w:ascii="Times New Roman" w:eastAsia="宋体" w:hAnsi="Times New Roman"/>
          <w:szCs w:val="20"/>
        </w:rPr>
        <w:t>For Type 3 PHR, it may be controversial that Type 3 PHR should be absent when PUSCH is configured in the serving cell as per the current specifications. Nevertheless, it can be beneficial even critical to enable Type 3 PHR triggering for SRS transmitted to DL TRP for DL CSI acquisition while PUSCH transmitted to UL TRP(s) only</w:t>
      </w:r>
      <w:r w:rsidR="001907C2">
        <w:rPr>
          <w:rFonts w:ascii="Times New Roman" w:eastAsia="宋体" w:hAnsi="Times New Roman"/>
          <w:szCs w:val="20"/>
        </w:rPr>
        <w:t>, as depicted in Figure 7</w:t>
      </w:r>
      <w:r>
        <w:rPr>
          <w:rFonts w:ascii="Times New Roman" w:eastAsia="宋体" w:hAnsi="Times New Roman"/>
          <w:szCs w:val="20"/>
        </w:rPr>
        <w:t>. Essentially, this is in fact similar to the principle of the legacy Type 3 PHR that is used for SRS transmitted for DL CSI acquisition in the serving cell configured with DL transmission only.</w:t>
      </w:r>
    </w:p>
    <w:p w:rsidR="0055216E" w:rsidRDefault="00954509">
      <w:pPr>
        <w:adjustRightInd w:val="0"/>
        <w:spacing w:beforeLines="50" w:before="180" w:beforeAutospacing="0" w:after="180"/>
        <w:jc w:val="center"/>
        <w:rPr>
          <w:rFonts w:eastAsia="宋体"/>
          <w:sz w:val="22"/>
          <w:szCs w:val="22"/>
        </w:rPr>
      </w:pPr>
      <w:r>
        <w:rPr>
          <w:rFonts w:eastAsia="宋体"/>
          <w:noProof/>
          <w:sz w:val="22"/>
          <w:szCs w:val="22"/>
        </w:rPr>
        <w:drawing>
          <wp:inline distT="0" distB="0" distL="0" distR="0">
            <wp:extent cx="4330065" cy="136779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30150" cy="1368000"/>
                    </a:xfrm>
                    <a:prstGeom prst="rect">
                      <a:avLst/>
                    </a:prstGeom>
                  </pic:spPr>
                </pic:pic>
              </a:graphicData>
            </a:graphic>
          </wp:inline>
        </w:drawing>
      </w:r>
    </w:p>
    <w:p w:rsidR="0055216E" w:rsidRDefault="00954509">
      <w:pPr>
        <w:adjustRightInd w:val="0"/>
        <w:spacing w:after="180"/>
        <w:jc w:val="center"/>
        <w:rPr>
          <w:rFonts w:eastAsia="宋体"/>
          <w:szCs w:val="20"/>
        </w:rPr>
      </w:pPr>
      <w:r>
        <w:rPr>
          <w:rFonts w:eastAsia="宋体"/>
          <w:b/>
          <w:bCs/>
          <w:szCs w:val="20"/>
        </w:rPr>
        <w:t>Figure 7</w:t>
      </w:r>
      <w:r>
        <w:rPr>
          <w:rFonts w:eastAsia="宋体"/>
          <w:szCs w:val="20"/>
        </w:rPr>
        <w:tab/>
        <w:t>Type 3 PHR for SRS transmission towards to DL TRP for DL CSI acquisition when PUSCH transmission is configured</w:t>
      </w:r>
    </w:p>
    <w:p w:rsidR="0055216E" w:rsidRDefault="00954509">
      <w:pPr>
        <w:adjustRightInd w:val="0"/>
        <w:spacing w:beforeLines="50" w:before="180" w:beforeAutospacing="0" w:after="180"/>
        <w:jc w:val="both"/>
        <w:rPr>
          <w:rFonts w:eastAsia="宋体"/>
          <w:szCs w:val="20"/>
        </w:rPr>
      </w:pPr>
      <w:r>
        <w:rPr>
          <w:rFonts w:eastAsia="宋体"/>
          <w:szCs w:val="20"/>
        </w:rPr>
        <w:t>Based on the above elaboration, we have the following two proposals of Type 1 PHR and Type 3 PHR related enhancement</w:t>
      </w:r>
      <w:r w:rsidR="00081CD1">
        <w:rPr>
          <w:rFonts w:eastAsia="宋体"/>
          <w:szCs w:val="20"/>
        </w:rPr>
        <w:t>, respectively</w:t>
      </w:r>
      <w:r>
        <w:rPr>
          <w:rFonts w:eastAsia="宋体"/>
          <w:szCs w:val="20"/>
        </w:rPr>
        <w:t>.</w:t>
      </w:r>
    </w:p>
    <w:p w:rsidR="0055216E" w:rsidRDefault="00954509">
      <w:pPr>
        <w:adjustRightInd w:val="0"/>
        <w:spacing w:beforeLines="50" w:before="180" w:beforeAutospacing="0" w:afterLines="0" w:after="0"/>
        <w:jc w:val="both"/>
        <w:rPr>
          <w:rFonts w:eastAsia="宋体"/>
          <w:i/>
          <w:iCs/>
          <w:szCs w:val="20"/>
        </w:rPr>
      </w:pPr>
      <w:r>
        <w:rPr>
          <w:rFonts w:eastAsia="宋体"/>
          <w:b/>
          <w:bCs/>
          <w:i/>
          <w:iCs/>
          <w:szCs w:val="20"/>
        </w:rPr>
        <w:t>Proposal 6:</w:t>
      </w:r>
      <w:r>
        <w:rPr>
          <w:rFonts w:eastAsia="宋体"/>
          <w:i/>
          <w:iCs/>
          <w:szCs w:val="20"/>
        </w:rPr>
        <w:t xml:space="preserve"> </w:t>
      </w:r>
      <w:r>
        <w:rPr>
          <w:rFonts w:eastAsia="等线"/>
          <w:i/>
          <w:szCs w:val="20"/>
          <w:lang w:val="en-GB"/>
        </w:rPr>
        <w:t>Support to take PL offset into account of Type 1 PHR calculation on actual or reference PUSCH transmission</w:t>
      </w:r>
      <w:r>
        <w:rPr>
          <w:rFonts w:eastAsia="宋体"/>
          <w:i/>
          <w:iCs/>
          <w:szCs w:val="20"/>
        </w:rPr>
        <w:t>.</w:t>
      </w:r>
    </w:p>
    <w:p w:rsidR="0055216E" w:rsidRDefault="00954509">
      <w:pPr>
        <w:adjustRightInd w:val="0"/>
        <w:spacing w:beforeLines="50" w:before="180" w:beforeAutospacing="0" w:afterLines="0" w:after="0"/>
        <w:jc w:val="both"/>
        <w:rPr>
          <w:rFonts w:eastAsia="宋体"/>
          <w:i/>
          <w:iCs/>
          <w:szCs w:val="20"/>
        </w:rPr>
      </w:pPr>
      <w:r>
        <w:rPr>
          <w:rFonts w:eastAsia="宋体"/>
          <w:b/>
          <w:bCs/>
          <w:i/>
          <w:iCs/>
          <w:szCs w:val="20"/>
        </w:rPr>
        <w:lastRenderedPageBreak/>
        <w:t>Proposal 7:</w:t>
      </w:r>
      <w:r>
        <w:rPr>
          <w:rFonts w:eastAsia="宋体"/>
          <w:i/>
          <w:iCs/>
          <w:szCs w:val="20"/>
        </w:rPr>
        <w:t xml:space="preserve"> </w:t>
      </w:r>
      <w:r>
        <w:rPr>
          <w:rFonts w:eastAsia="等线"/>
          <w:i/>
          <w:szCs w:val="20"/>
          <w:lang w:val="en-GB"/>
        </w:rPr>
        <w:t xml:space="preserve">Support </w:t>
      </w:r>
      <w:r>
        <w:rPr>
          <w:rFonts w:eastAsia="等线"/>
          <w:i/>
          <w:szCs w:val="20"/>
        </w:rPr>
        <w:t xml:space="preserve">that </w:t>
      </w:r>
      <w:r>
        <w:rPr>
          <w:rFonts w:eastAsia="宋体"/>
          <w:i/>
          <w:szCs w:val="20"/>
        </w:rPr>
        <w:t>Type 3 PHR can be triggered in the serving cell if the UE is configured with two separate SRS CLPC adjustment states</w:t>
      </w:r>
      <w:r>
        <w:rPr>
          <w:rFonts w:eastAsia="宋体"/>
          <w:i/>
          <w:iCs/>
          <w:szCs w:val="20"/>
        </w:rPr>
        <w:t>.</w:t>
      </w:r>
    </w:p>
    <w:p w:rsidR="0055216E" w:rsidRDefault="00954509">
      <w:pPr>
        <w:pStyle w:val="aff2"/>
        <w:numPr>
          <w:ilvl w:val="0"/>
          <w:numId w:val="10"/>
        </w:numPr>
        <w:spacing w:beforeLines="0" w:before="0" w:afterLines="0" w:after="0" w:line="240" w:lineRule="auto"/>
        <w:ind w:leftChars="0"/>
        <w:rPr>
          <w:rFonts w:ascii="Times New Roman" w:eastAsia="宋体" w:hAnsi="Times New Roman"/>
          <w:i/>
          <w:szCs w:val="20"/>
        </w:rPr>
      </w:pPr>
      <w:r>
        <w:rPr>
          <w:rFonts w:ascii="Times New Roman" w:eastAsia="宋体" w:hAnsi="Times New Roman"/>
          <w:i/>
          <w:szCs w:val="20"/>
          <w:lang w:val="en-US"/>
        </w:rPr>
        <w:t xml:space="preserve">FFS: Whether </w:t>
      </w:r>
      <w:r>
        <w:rPr>
          <w:rFonts w:ascii="Times New Roman" w:eastAsia="等线" w:hAnsi="Times New Roman"/>
          <w:i/>
          <w:szCs w:val="20"/>
        </w:rPr>
        <w:t>to take PL offset into account of Type 3 PHR calculation on actual or reference SRS</w:t>
      </w:r>
      <w:r>
        <w:rPr>
          <w:rFonts w:ascii="Times New Roman" w:eastAsia="宋体" w:hAnsi="Times New Roman"/>
          <w:i/>
          <w:szCs w:val="20"/>
        </w:rPr>
        <w:t>.</w:t>
      </w:r>
    </w:p>
    <w:p w:rsidR="0055216E" w:rsidRDefault="00954509">
      <w:pPr>
        <w:pStyle w:val="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Conclusion</w:t>
      </w:r>
    </w:p>
    <w:p w:rsidR="0055216E" w:rsidRDefault="00954509">
      <w:pPr>
        <w:adjustRightInd w:val="0"/>
        <w:spacing w:beforeLines="50" w:before="180" w:beforeAutospacing="0" w:after="180"/>
        <w:jc w:val="both"/>
        <w:rPr>
          <w:szCs w:val="20"/>
        </w:rPr>
      </w:pPr>
      <w:r>
        <w:rPr>
          <w:szCs w:val="20"/>
        </w:rPr>
        <w:t xml:space="preserve">In this contribution, we present our views </w:t>
      </w:r>
      <w:r>
        <w:rPr>
          <w:rFonts w:eastAsia="宋体" w:hint="eastAsia"/>
          <w:szCs w:val="20"/>
        </w:rPr>
        <w:t xml:space="preserve">of the </w:t>
      </w:r>
      <w:r>
        <w:rPr>
          <w:szCs w:val="20"/>
        </w:rPr>
        <w:t>enhancement</w:t>
      </w:r>
      <w:r>
        <w:rPr>
          <w:rFonts w:eastAsia="宋体" w:hint="eastAsia"/>
          <w:szCs w:val="20"/>
        </w:rPr>
        <w:t>s</w:t>
      </w:r>
      <w:r>
        <w:rPr>
          <w:szCs w:val="20"/>
        </w:rPr>
        <w:t xml:space="preserve"> </w:t>
      </w:r>
      <w:r>
        <w:rPr>
          <w:rFonts w:eastAsia="宋体" w:hint="eastAsia"/>
          <w:szCs w:val="20"/>
        </w:rPr>
        <w:t>for asymmetric DL sTRP/UL</w:t>
      </w:r>
      <w:r>
        <w:rPr>
          <w:szCs w:val="20"/>
        </w:rPr>
        <w:t xml:space="preserve"> </w:t>
      </w:r>
      <w:r>
        <w:rPr>
          <w:rFonts w:eastAsia="宋体" w:hint="eastAsia"/>
          <w:szCs w:val="20"/>
        </w:rPr>
        <w:t>mTRP scenarios with</w:t>
      </w:r>
      <w:r>
        <w:rPr>
          <w:szCs w:val="20"/>
        </w:rPr>
        <w:t xml:space="preserve"> the following </w:t>
      </w:r>
      <w:r>
        <w:rPr>
          <w:rFonts w:eastAsia="宋体" w:hint="eastAsia"/>
          <w:szCs w:val="20"/>
        </w:rPr>
        <w:t xml:space="preserve">observations and </w:t>
      </w:r>
      <w:r>
        <w:rPr>
          <w:szCs w:val="20"/>
        </w:rPr>
        <w:t>proposals</w:t>
      </w:r>
      <w:r>
        <w:rPr>
          <w:rFonts w:hint="eastAsia"/>
          <w:szCs w:val="20"/>
        </w:rPr>
        <w:t>.</w:t>
      </w:r>
    </w:p>
    <w:p w:rsidR="000D12C5" w:rsidRDefault="000D12C5" w:rsidP="000D12C5">
      <w:pPr>
        <w:adjustRightInd w:val="0"/>
        <w:spacing w:beforeLines="50" w:before="180" w:beforeAutospacing="0" w:after="180"/>
        <w:jc w:val="both"/>
        <w:rPr>
          <w:rFonts w:eastAsia="宋体"/>
          <w:i/>
          <w:iCs/>
          <w:szCs w:val="20"/>
        </w:rPr>
      </w:pPr>
      <w:r>
        <w:rPr>
          <w:rFonts w:eastAsia="宋体" w:hint="eastAsia"/>
          <w:b/>
          <w:bCs/>
          <w:i/>
          <w:iCs/>
          <w:szCs w:val="20"/>
        </w:rPr>
        <w:t>Observation 1:</w:t>
      </w:r>
      <w:r>
        <w:rPr>
          <w:rFonts w:eastAsia="宋体" w:hint="eastAsia"/>
          <w:i/>
          <w:iCs/>
          <w:szCs w:val="20"/>
        </w:rPr>
        <w:t xml:space="preserve"> In asymmetric UL sTRP/DL mTRP scenario, uplink propagation delay difference between macro and micro nodes is mandatory to be met the timing error limit </w:t>
      </w:r>
      <w:proofErr w:type="spellStart"/>
      <w:r>
        <w:rPr>
          <w:rFonts w:eastAsia="宋体" w:hint="eastAsia"/>
          <w:i/>
          <w:iCs/>
          <w:szCs w:val="20"/>
        </w:rPr>
        <w:t>T</w:t>
      </w:r>
      <w:r>
        <w:rPr>
          <w:rFonts w:eastAsia="宋体" w:hint="eastAsia"/>
          <w:i/>
          <w:iCs/>
          <w:szCs w:val="20"/>
          <w:vertAlign w:val="subscript"/>
        </w:rPr>
        <w:t>e</w:t>
      </w:r>
      <w:proofErr w:type="spellEnd"/>
      <w:r>
        <w:rPr>
          <w:rFonts w:eastAsia="宋体" w:hint="eastAsia"/>
          <w:i/>
          <w:iCs/>
          <w:szCs w:val="20"/>
        </w:rPr>
        <w:t xml:space="preserve"> as specified in TS 38.133.</w:t>
      </w:r>
    </w:p>
    <w:p w:rsidR="000D12C5" w:rsidRDefault="000D12C5" w:rsidP="000D12C5">
      <w:pPr>
        <w:adjustRightInd w:val="0"/>
        <w:spacing w:beforeLines="50" w:before="180" w:beforeAutospacing="0" w:after="180"/>
        <w:jc w:val="both"/>
        <w:rPr>
          <w:rFonts w:eastAsia="宋体"/>
          <w:i/>
          <w:iCs/>
          <w:szCs w:val="20"/>
        </w:rPr>
      </w:pPr>
      <w:r>
        <w:rPr>
          <w:rFonts w:eastAsia="宋体" w:hint="eastAsia"/>
          <w:b/>
          <w:bCs/>
          <w:i/>
          <w:iCs/>
          <w:szCs w:val="20"/>
        </w:rPr>
        <w:t xml:space="preserve">Observation 2: </w:t>
      </w:r>
      <w:r>
        <w:rPr>
          <w:rFonts w:eastAsia="宋体" w:hint="eastAsia"/>
          <w:i/>
          <w:iCs/>
          <w:szCs w:val="20"/>
        </w:rPr>
        <w:t xml:space="preserve">In asymmetric UL sTRP/ DL mTRP scenarios applied with one single TAG, uplink propagation delay difference between macro and micro nodes of ~70% UE cannot meet the timing error limit </w:t>
      </w:r>
      <w:proofErr w:type="spellStart"/>
      <w:r>
        <w:rPr>
          <w:rFonts w:eastAsia="宋体" w:hint="eastAsia"/>
          <w:i/>
          <w:iCs/>
          <w:szCs w:val="20"/>
        </w:rPr>
        <w:t>T</w:t>
      </w:r>
      <w:r>
        <w:rPr>
          <w:rFonts w:eastAsia="宋体" w:hint="eastAsia"/>
          <w:i/>
          <w:iCs/>
          <w:szCs w:val="20"/>
          <w:vertAlign w:val="subscript"/>
        </w:rPr>
        <w:t>e</w:t>
      </w:r>
      <w:proofErr w:type="spellEnd"/>
      <w:r>
        <w:rPr>
          <w:rFonts w:eastAsia="宋体" w:hint="eastAsia"/>
          <w:i/>
          <w:iCs/>
          <w:szCs w:val="20"/>
        </w:rPr>
        <w:t xml:space="preserve"> in both FR1 and FR2. As a result, it will negatively lead to that the performance of the vast majority of uplink transmissions cannot be guaranteed or the network has to deploy more dense micro nodes.</w:t>
      </w:r>
    </w:p>
    <w:p w:rsidR="000D12C5" w:rsidRDefault="000D12C5" w:rsidP="000D12C5">
      <w:pPr>
        <w:adjustRightInd w:val="0"/>
        <w:spacing w:beforeLines="50" w:before="180" w:beforeAutospacing="0" w:afterLines="0" w:after="0"/>
        <w:jc w:val="both"/>
        <w:rPr>
          <w:rFonts w:eastAsia="宋体"/>
          <w:i/>
          <w:iCs/>
          <w:szCs w:val="20"/>
        </w:rPr>
      </w:pPr>
      <w:r>
        <w:rPr>
          <w:rFonts w:eastAsia="宋体"/>
          <w:b/>
          <w:bCs/>
          <w:i/>
          <w:iCs/>
          <w:szCs w:val="20"/>
        </w:rPr>
        <w:t>Proposal 1:</w:t>
      </w:r>
      <w:r>
        <w:rPr>
          <w:rFonts w:eastAsia="宋体"/>
          <w:i/>
          <w:iCs/>
          <w:szCs w:val="20"/>
        </w:rPr>
        <w:t xml:space="preserve"> For the value of X&gt;31 with regard to starting bit position of a block in DCI format 2_3, it can be enabled only when two separate SRS CLPC adjustment states are configured in a BWP/CC.</w:t>
      </w:r>
    </w:p>
    <w:p w:rsidR="000D12C5" w:rsidRDefault="000D12C5" w:rsidP="000D12C5">
      <w:pPr>
        <w:pStyle w:val="aff2"/>
        <w:numPr>
          <w:ilvl w:val="0"/>
          <w:numId w:val="11"/>
        </w:numPr>
        <w:spacing w:beforeLines="0" w:before="0" w:afterLines="0" w:after="0"/>
        <w:ind w:leftChars="0" w:left="357" w:hanging="357"/>
        <w:rPr>
          <w:rFonts w:ascii="Times New Roman" w:eastAsia="等线" w:hAnsi="Times New Roman"/>
          <w:i/>
          <w:szCs w:val="20"/>
          <w:lang w:eastAsia="en-US"/>
        </w:rPr>
      </w:pPr>
      <w:r>
        <w:rPr>
          <w:rFonts w:ascii="Times New Roman" w:eastAsia="宋体" w:hAnsi="Times New Roman"/>
          <w:i/>
          <w:iCs/>
          <w:szCs w:val="20"/>
          <w:lang w:val="en-US"/>
        </w:rPr>
        <w:t>T</w:t>
      </w:r>
      <w:r>
        <w:rPr>
          <w:rFonts w:ascii="Times New Roman" w:eastAsia="宋体" w:hAnsi="Times New Roman"/>
          <w:i/>
          <w:iCs/>
          <w:szCs w:val="20"/>
        </w:rPr>
        <w:t>he value of X&gt;31 can be up to the maximum payload size of DCI format 1_0 that monitored in the serving cell (i.e., variable value depends on the specific RRC configuration) minus the minimum payload size of the last block in DCI format 2_3 for the UE (i.e., 3 bits that including a 2-bit TPC command field and a 1-bit closed-loop indicator field)</w:t>
      </w:r>
      <w:r>
        <w:rPr>
          <w:rFonts w:ascii="Times New Roman" w:eastAsia="等线" w:hAnsi="Times New Roman"/>
          <w:i/>
          <w:szCs w:val="20"/>
          <w:lang w:eastAsia="en-US"/>
        </w:rPr>
        <w:t>.</w:t>
      </w:r>
    </w:p>
    <w:p w:rsidR="000D12C5" w:rsidRDefault="000D12C5" w:rsidP="000D12C5">
      <w:pPr>
        <w:adjustRightInd w:val="0"/>
        <w:spacing w:beforeLines="50" w:before="180" w:beforeAutospacing="0" w:afterLines="0" w:after="0"/>
        <w:jc w:val="both"/>
        <w:rPr>
          <w:rFonts w:eastAsia="宋体"/>
          <w:i/>
          <w:szCs w:val="20"/>
        </w:rPr>
      </w:pPr>
      <w:r>
        <w:rPr>
          <w:rFonts w:eastAsia="宋体"/>
          <w:b/>
          <w:bCs/>
          <w:i/>
          <w:iCs/>
          <w:szCs w:val="20"/>
        </w:rPr>
        <w:t>Proposal 2:</w:t>
      </w:r>
      <w:r>
        <w:rPr>
          <w:rFonts w:eastAsia="宋体"/>
          <w:i/>
          <w:iCs/>
          <w:szCs w:val="20"/>
        </w:rPr>
        <w:t xml:space="preserve"> </w:t>
      </w:r>
      <w:r>
        <w:rPr>
          <w:rFonts w:eastAsia="宋体"/>
          <w:i/>
          <w:szCs w:val="20"/>
        </w:rPr>
        <w:t>Support to enhance DCI formats 1_1 and 0_1 to indicate TPC command for SRS when the UE is configured with two separate SRS CLPC adjustment states.</w:t>
      </w:r>
    </w:p>
    <w:p w:rsidR="000D12C5" w:rsidRDefault="000D12C5" w:rsidP="000D12C5">
      <w:pPr>
        <w:pStyle w:val="aff2"/>
        <w:numPr>
          <w:ilvl w:val="0"/>
          <w:numId w:val="10"/>
        </w:numPr>
        <w:spacing w:beforeLines="0" w:before="0" w:afterLines="0" w:after="0" w:line="240" w:lineRule="auto"/>
        <w:ind w:leftChars="0"/>
        <w:rPr>
          <w:rFonts w:ascii="Times New Roman" w:eastAsia="宋体" w:hAnsi="Times New Roman"/>
          <w:i/>
          <w:szCs w:val="20"/>
        </w:rPr>
      </w:pPr>
      <w:r>
        <w:rPr>
          <w:rFonts w:ascii="Times New Roman" w:eastAsia="宋体" w:hAnsi="Times New Roman"/>
          <w:i/>
          <w:iCs/>
          <w:szCs w:val="20"/>
        </w:rPr>
        <w:t xml:space="preserve">Introduce one </w:t>
      </w:r>
      <w:r>
        <w:rPr>
          <w:rFonts w:ascii="Times New Roman" w:eastAsia="宋体" w:hAnsi="Times New Roman"/>
          <w:i/>
          <w:szCs w:val="20"/>
        </w:rPr>
        <w:t>2-bit TPC command field and one 1-bit closed-loop indicator field in DCI formats 1_1 and 0_1.</w:t>
      </w:r>
    </w:p>
    <w:p w:rsidR="000D12C5" w:rsidRDefault="000D12C5" w:rsidP="000D12C5">
      <w:pPr>
        <w:adjustRightInd w:val="0"/>
        <w:spacing w:beforeLines="50" w:before="180" w:beforeAutospacing="0" w:afterLines="0" w:after="0"/>
        <w:jc w:val="both"/>
        <w:rPr>
          <w:rFonts w:eastAsia="宋体"/>
          <w:i/>
          <w:iCs/>
          <w:szCs w:val="20"/>
        </w:rPr>
      </w:pPr>
      <w:r>
        <w:rPr>
          <w:rFonts w:eastAsia="宋体" w:hint="eastAsia"/>
          <w:b/>
          <w:bCs/>
          <w:i/>
          <w:iCs/>
          <w:szCs w:val="20"/>
        </w:rPr>
        <w:t xml:space="preserve">Proposal </w:t>
      </w:r>
      <w:r>
        <w:rPr>
          <w:rFonts w:eastAsia="宋体"/>
          <w:b/>
          <w:bCs/>
          <w:i/>
          <w:iCs/>
          <w:szCs w:val="20"/>
        </w:rPr>
        <w:t>3</w:t>
      </w:r>
      <w:r>
        <w:rPr>
          <w:rFonts w:eastAsia="宋体" w:hint="eastAsia"/>
          <w:b/>
          <w:bCs/>
          <w:i/>
          <w:iCs/>
          <w:szCs w:val="20"/>
        </w:rPr>
        <w:t>:</w:t>
      </w:r>
      <w:r>
        <w:rPr>
          <w:rFonts w:eastAsia="宋体" w:hint="eastAsia"/>
          <w:i/>
          <w:iCs/>
          <w:szCs w:val="20"/>
        </w:rPr>
        <w:t xml:space="preserve"> Support </w:t>
      </w:r>
      <w:r>
        <w:rPr>
          <w:rFonts w:eastAsia="宋体"/>
          <w:i/>
          <w:iCs/>
          <w:szCs w:val="20"/>
        </w:rPr>
        <w:t>that one out of two separate CLPC adjustment states for SRS can be configured to one SRS resource set (Alt1)</w:t>
      </w:r>
      <w:r>
        <w:rPr>
          <w:rFonts w:eastAsia="宋体" w:hint="eastAsia"/>
          <w:i/>
          <w:iCs/>
          <w:szCs w:val="20"/>
        </w:rPr>
        <w:t>.</w:t>
      </w:r>
    </w:p>
    <w:p w:rsidR="000D12C5" w:rsidRDefault="000D12C5" w:rsidP="000D12C5">
      <w:pPr>
        <w:pStyle w:val="aff2"/>
        <w:numPr>
          <w:ilvl w:val="0"/>
          <w:numId w:val="10"/>
        </w:numPr>
        <w:spacing w:beforeLines="0" w:before="0" w:afterLines="0" w:after="0" w:line="240" w:lineRule="auto"/>
        <w:ind w:leftChars="0"/>
        <w:rPr>
          <w:rFonts w:eastAsia="宋体"/>
          <w:i/>
          <w:szCs w:val="20"/>
        </w:rPr>
      </w:pPr>
      <w:r>
        <w:rPr>
          <w:rFonts w:eastAsia="宋体"/>
          <w:i/>
          <w:iCs/>
          <w:szCs w:val="20"/>
        </w:rPr>
        <w:t xml:space="preserve">In this way, </w:t>
      </w:r>
      <w:r>
        <w:rPr>
          <w:rFonts w:eastAsia="等线" w:cs="Batang"/>
          <w:i/>
          <w:szCs w:val="20"/>
          <w:lang w:eastAsia="en-US"/>
        </w:rPr>
        <w:t>closedLoopIndex-r17 for SRS in the TCI state is not to be used to indicate the SRS CLPC adjustment state</w:t>
      </w:r>
      <w:r>
        <w:rPr>
          <w:rFonts w:eastAsia="宋体"/>
          <w:i/>
          <w:szCs w:val="20"/>
        </w:rPr>
        <w:t>.</w:t>
      </w:r>
    </w:p>
    <w:p w:rsidR="009E6C24" w:rsidRDefault="009E6C24" w:rsidP="009E6C24">
      <w:pPr>
        <w:adjustRightInd w:val="0"/>
        <w:spacing w:beforeLines="50" w:before="180" w:beforeAutospacing="0" w:afterLines="0" w:after="0"/>
        <w:jc w:val="both"/>
        <w:rPr>
          <w:rFonts w:eastAsia="宋体"/>
          <w:i/>
          <w:iCs/>
          <w:szCs w:val="20"/>
        </w:rPr>
      </w:pPr>
      <w:r>
        <w:rPr>
          <w:rFonts w:eastAsia="宋体"/>
          <w:b/>
          <w:bCs/>
          <w:i/>
          <w:iCs/>
          <w:szCs w:val="20"/>
        </w:rPr>
        <w:t>Proposal 4:</w:t>
      </w:r>
      <w:r>
        <w:rPr>
          <w:rFonts w:eastAsia="宋体"/>
          <w:i/>
          <w:iCs/>
          <w:szCs w:val="20"/>
        </w:rPr>
        <w:t xml:space="preserve"> </w:t>
      </w:r>
      <w:r>
        <w:rPr>
          <w:rFonts w:eastAsia="等线"/>
          <w:i/>
          <w:szCs w:val="20"/>
          <w:lang w:val="en-GB"/>
        </w:rPr>
        <w:t xml:space="preserve">For indicating a PL offset for PDCCH-order PRACH transmission at least for FR1, support that </w:t>
      </w:r>
      <w:r>
        <w:rPr>
          <w:rFonts w:eastAsia="等线"/>
          <w:i/>
          <w:szCs w:val="20"/>
          <w:lang w:val="en-GB" w:eastAsia="en-US"/>
        </w:rPr>
        <w:t>the PL offset associated with one of the indicated joint/UL TCI state for UL TRP in unified TCI framework is applied on the PDCCH-order PRACH transmission</w:t>
      </w:r>
      <w:r>
        <w:rPr>
          <w:rFonts w:eastAsia="宋体"/>
          <w:i/>
          <w:iCs/>
          <w:szCs w:val="20"/>
        </w:rPr>
        <w:t xml:space="preserve"> (Alt3).</w:t>
      </w:r>
    </w:p>
    <w:p w:rsidR="009E6C24" w:rsidRDefault="009E6C24" w:rsidP="009E6C24">
      <w:pPr>
        <w:pStyle w:val="aff2"/>
        <w:numPr>
          <w:ilvl w:val="0"/>
          <w:numId w:val="10"/>
        </w:numPr>
        <w:spacing w:beforeLines="0" w:before="0" w:afterLines="0" w:after="0" w:line="240" w:lineRule="auto"/>
        <w:ind w:leftChars="0"/>
        <w:rPr>
          <w:rFonts w:ascii="Times New Roman" w:eastAsia="宋体" w:hAnsi="Times New Roman"/>
          <w:i/>
          <w:szCs w:val="20"/>
        </w:rPr>
      </w:pPr>
      <w:r>
        <w:rPr>
          <w:rFonts w:ascii="Times New Roman" w:eastAsia="宋体" w:hAnsi="Times New Roman"/>
          <w:i/>
          <w:iCs/>
          <w:szCs w:val="20"/>
        </w:rPr>
        <w:t>Introduce or use a 1-bit field in DCI format 1_0 to indicate that: (1</w:t>
      </w:r>
      <w:r w:rsidRPr="006D5B0B">
        <w:rPr>
          <w:rFonts w:ascii="Times New Roman" w:eastAsia="宋体" w:hAnsi="Times New Roman"/>
          <w:i/>
          <w:iCs/>
          <w:szCs w:val="20"/>
        </w:rPr>
        <w:t xml:space="preserve">) </w:t>
      </w:r>
      <w:r w:rsidRPr="006D5B0B">
        <w:rPr>
          <w:rFonts w:ascii="Times New Roman" w:eastAsia="宋体" w:hAnsi="Times New Roman"/>
          <w:i/>
          <w:szCs w:val="20"/>
        </w:rPr>
        <w:t xml:space="preserve">whether the PL offset of one indicated joint/UL TCI state is applied to PRACH transmission or not when Rel-17 unified TCI is indicated </w:t>
      </w:r>
      <w:r>
        <w:rPr>
          <w:rFonts w:ascii="Times New Roman" w:eastAsia="宋体" w:hAnsi="Times New Roman"/>
          <w:i/>
          <w:szCs w:val="20"/>
        </w:rPr>
        <w:t>for</w:t>
      </w:r>
      <w:r w:rsidRPr="006D5B0B">
        <w:rPr>
          <w:rFonts w:ascii="Times New Roman" w:eastAsia="宋体" w:hAnsi="Times New Roman"/>
          <w:i/>
          <w:szCs w:val="20"/>
        </w:rPr>
        <w:t xml:space="preserve"> sTRP/ICBM operation, or (2) whe</w:t>
      </w:r>
      <w:r>
        <w:rPr>
          <w:rFonts w:ascii="Times New Roman" w:eastAsia="宋体" w:hAnsi="Times New Roman"/>
          <w:i/>
          <w:szCs w:val="20"/>
        </w:rPr>
        <w:t>ther</w:t>
      </w:r>
      <w:r w:rsidRPr="006D5B0B">
        <w:rPr>
          <w:rFonts w:ascii="Times New Roman" w:eastAsia="宋体" w:hAnsi="Times New Roman"/>
          <w:i/>
          <w:szCs w:val="20"/>
        </w:rPr>
        <w:t xml:space="preserve"> the PL offset of one out of two indicated joint/UL TCI states is applied to PRACH transmission or not when Rel-18 unified TCI is indicated </w:t>
      </w:r>
      <w:r>
        <w:rPr>
          <w:rFonts w:ascii="Times New Roman" w:eastAsia="宋体" w:hAnsi="Times New Roman"/>
          <w:i/>
          <w:szCs w:val="20"/>
        </w:rPr>
        <w:t>for</w:t>
      </w:r>
      <w:r w:rsidRPr="006D5B0B">
        <w:rPr>
          <w:rFonts w:ascii="Times New Roman" w:eastAsia="宋体" w:hAnsi="Times New Roman"/>
          <w:i/>
          <w:szCs w:val="20"/>
        </w:rPr>
        <w:t xml:space="preserve"> mTRP operation.</w:t>
      </w:r>
    </w:p>
    <w:p w:rsidR="000D12C5" w:rsidRDefault="000D12C5" w:rsidP="000D12C5">
      <w:pPr>
        <w:adjustRightInd w:val="0"/>
        <w:spacing w:beforeLines="50" w:before="180" w:beforeAutospacing="0" w:afterLines="0" w:after="0"/>
        <w:jc w:val="both"/>
        <w:rPr>
          <w:rFonts w:eastAsia="宋体"/>
          <w:i/>
          <w:iCs/>
          <w:szCs w:val="20"/>
        </w:rPr>
      </w:pPr>
      <w:r>
        <w:rPr>
          <w:rFonts w:eastAsia="宋体"/>
          <w:b/>
          <w:bCs/>
          <w:i/>
          <w:iCs/>
          <w:szCs w:val="20"/>
        </w:rPr>
        <w:t>Proposal 5:</w:t>
      </w:r>
      <w:r>
        <w:rPr>
          <w:rFonts w:eastAsia="宋体"/>
          <w:i/>
          <w:iCs/>
          <w:szCs w:val="20"/>
        </w:rPr>
        <w:t xml:space="preserve"> </w:t>
      </w:r>
      <w:r>
        <w:rPr>
          <w:rFonts w:eastAsia="等线"/>
          <w:i/>
          <w:szCs w:val="20"/>
          <w:lang w:val="en-GB"/>
        </w:rPr>
        <w:t>Support that the value range of PL offset is {-60, 60} dB, where PL offset = DL PL – UL PL</w:t>
      </w:r>
      <w:r>
        <w:rPr>
          <w:rFonts w:eastAsia="宋体"/>
          <w:i/>
          <w:iCs/>
          <w:szCs w:val="20"/>
        </w:rPr>
        <w:t>.</w:t>
      </w:r>
    </w:p>
    <w:p w:rsidR="000D12C5" w:rsidRDefault="000D12C5" w:rsidP="000D12C5">
      <w:pPr>
        <w:pStyle w:val="aff2"/>
        <w:numPr>
          <w:ilvl w:val="0"/>
          <w:numId w:val="10"/>
        </w:numPr>
        <w:spacing w:beforeLines="0" w:before="0" w:afterLines="0" w:after="0" w:line="240" w:lineRule="auto"/>
        <w:ind w:leftChars="0"/>
        <w:rPr>
          <w:rFonts w:ascii="Times New Roman" w:eastAsia="宋体" w:hAnsi="Times New Roman"/>
          <w:i/>
          <w:szCs w:val="20"/>
        </w:rPr>
      </w:pPr>
      <w:r>
        <w:rPr>
          <w:rFonts w:ascii="Times New Roman" w:eastAsia="宋体" w:hAnsi="Times New Roman"/>
          <w:i/>
          <w:iCs/>
          <w:szCs w:val="20"/>
        </w:rPr>
        <w:t>FFS: The value granularity of PL offset that configured by RRC and updated by MAC CE</w:t>
      </w:r>
      <w:r>
        <w:rPr>
          <w:rFonts w:ascii="Times New Roman" w:eastAsia="宋体" w:hAnsi="Times New Roman"/>
          <w:i/>
          <w:szCs w:val="20"/>
        </w:rPr>
        <w:t>.</w:t>
      </w:r>
    </w:p>
    <w:p w:rsidR="000D12C5" w:rsidRDefault="000D12C5" w:rsidP="000D12C5">
      <w:pPr>
        <w:adjustRightInd w:val="0"/>
        <w:spacing w:beforeLines="50" w:before="180" w:beforeAutospacing="0" w:afterLines="0" w:after="0"/>
        <w:jc w:val="both"/>
        <w:rPr>
          <w:rFonts w:eastAsia="宋体"/>
          <w:i/>
          <w:iCs/>
          <w:szCs w:val="20"/>
        </w:rPr>
      </w:pPr>
      <w:r>
        <w:rPr>
          <w:rFonts w:eastAsia="宋体"/>
          <w:b/>
          <w:bCs/>
          <w:i/>
          <w:iCs/>
          <w:szCs w:val="20"/>
        </w:rPr>
        <w:t>Proposal 6:</w:t>
      </w:r>
      <w:r>
        <w:rPr>
          <w:rFonts w:eastAsia="宋体"/>
          <w:i/>
          <w:iCs/>
          <w:szCs w:val="20"/>
        </w:rPr>
        <w:t xml:space="preserve"> </w:t>
      </w:r>
      <w:r>
        <w:rPr>
          <w:rFonts w:eastAsia="等线"/>
          <w:i/>
          <w:szCs w:val="20"/>
          <w:lang w:val="en-GB"/>
        </w:rPr>
        <w:t>Support to take PL offset into account of Type 1 PHR calculation on actual or reference PUSCH transmission</w:t>
      </w:r>
      <w:r>
        <w:rPr>
          <w:rFonts w:eastAsia="宋体"/>
          <w:i/>
          <w:iCs/>
          <w:szCs w:val="20"/>
        </w:rPr>
        <w:t>.</w:t>
      </w:r>
    </w:p>
    <w:p w:rsidR="000D12C5" w:rsidRDefault="000D12C5" w:rsidP="000D12C5">
      <w:pPr>
        <w:adjustRightInd w:val="0"/>
        <w:spacing w:beforeLines="50" w:before="180" w:beforeAutospacing="0" w:afterLines="0" w:after="0"/>
        <w:jc w:val="both"/>
        <w:rPr>
          <w:rFonts w:eastAsia="宋体"/>
          <w:i/>
          <w:iCs/>
          <w:szCs w:val="20"/>
        </w:rPr>
      </w:pPr>
      <w:r>
        <w:rPr>
          <w:rFonts w:eastAsia="宋体"/>
          <w:b/>
          <w:bCs/>
          <w:i/>
          <w:iCs/>
          <w:szCs w:val="20"/>
        </w:rPr>
        <w:t>Proposal 7:</w:t>
      </w:r>
      <w:r>
        <w:rPr>
          <w:rFonts w:eastAsia="宋体"/>
          <w:i/>
          <w:iCs/>
          <w:szCs w:val="20"/>
        </w:rPr>
        <w:t xml:space="preserve"> </w:t>
      </w:r>
      <w:r>
        <w:rPr>
          <w:rFonts w:eastAsia="等线"/>
          <w:i/>
          <w:szCs w:val="20"/>
          <w:lang w:val="en-GB"/>
        </w:rPr>
        <w:t xml:space="preserve">Support </w:t>
      </w:r>
      <w:r>
        <w:rPr>
          <w:rFonts w:eastAsia="等线"/>
          <w:i/>
          <w:szCs w:val="20"/>
        </w:rPr>
        <w:t xml:space="preserve">that </w:t>
      </w:r>
      <w:r>
        <w:rPr>
          <w:rFonts w:eastAsia="宋体"/>
          <w:i/>
          <w:szCs w:val="20"/>
        </w:rPr>
        <w:t>Type 3 PHR can be triggered in the serving cell if the UE is configured with two separate SRS CLPC adjustment states</w:t>
      </w:r>
      <w:r>
        <w:rPr>
          <w:rFonts w:eastAsia="宋体"/>
          <w:i/>
          <w:iCs/>
          <w:szCs w:val="20"/>
        </w:rPr>
        <w:t>.</w:t>
      </w:r>
    </w:p>
    <w:p w:rsidR="000D12C5" w:rsidRPr="000D12C5" w:rsidRDefault="000D12C5" w:rsidP="000D12C5">
      <w:pPr>
        <w:pStyle w:val="aff2"/>
        <w:numPr>
          <w:ilvl w:val="0"/>
          <w:numId w:val="10"/>
        </w:numPr>
        <w:spacing w:beforeLines="0" w:before="0" w:afterLines="0" w:after="0" w:line="240" w:lineRule="auto"/>
        <w:ind w:leftChars="0"/>
        <w:rPr>
          <w:rFonts w:ascii="Times New Roman" w:eastAsia="宋体" w:hAnsi="Times New Roman"/>
          <w:i/>
          <w:szCs w:val="20"/>
        </w:rPr>
      </w:pPr>
      <w:r>
        <w:rPr>
          <w:rFonts w:ascii="Times New Roman" w:eastAsia="宋体" w:hAnsi="Times New Roman"/>
          <w:i/>
          <w:szCs w:val="20"/>
          <w:lang w:val="en-US"/>
        </w:rPr>
        <w:t xml:space="preserve">FFS: Whether </w:t>
      </w:r>
      <w:r>
        <w:rPr>
          <w:rFonts w:ascii="Times New Roman" w:eastAsia="等线" w:hAnsi="Times New Roman"/>
          <w:i/>
          <w:szCs w:val="20"/>
        </w:rPr>
        <w:t>to take PL offset into account of Type 3 PHR calculation on actual or reference SRS</w:t>
      </w:r>
      <w:r>
        <w:rPr>
          <w:rFonts w:ascii="Times New Roman" w:eastAsia="宋体" w:hAnsi="Times New Roman"/>
          <w:i/>
          <w:szCs w:val="20"/>
        </w:rPr>
        <w:t>.</w:t>
      </w:r>
    </w:p>
    <w:p w:rsidR="0055216E" w:rsidRDefault="00954509">
      <w:pPr>
        <w:pStyle w:val="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Appendix</w:t>
      </w:r>
    </w:p>
    <w:p w:rsidR="0055216E" w:rsidRDefault="00954509">
      <w:pPr>
        <w:spacing w:before="72" w:after="180"/>
        <w:jc w:val="center"/>
      </w:pPr>
      <w:r>
        <w:rPr>
          <w:rFonts w:eastAsia="宋体"/>
          <w:b/>
          <w:bCs/>
        </w:rPr>
        <w:t>Table A</w:t>
      </w:r>
      <w:r>
        <w:rPr>
          <w:rFonts w:eastAsia="宋体"/>
        </w:rPr>
        <w:t xml:space="preserve">  SLS assumptions for the value range of PL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3339"/>
        <w:gridCol w:w="4677"/>
      </w:tblGrid>
      <w:tr w:rsidR="0055216E">
        <w:trPr>
          <w:trHeight w:val="285"/>
          <w:jc w:val="center"/>
        </w:trPr>
        <w:tc>
          <w:tcPr>
            <w:tcW w:w="1334" w:type="dxa"/>
            <w:tcBorders>
              <w:top w:val="single" w:sz="4" w:space="0" w:color="auto"/>
              <w:left w:val="single" w:sz="4" w:space="0" w:color="auto"/>
              <w:bottom w:val="single" w:sz="4" w:space="0" w:color="auto"/>
              <w:right w:val="single" w:sz="4" w:space="0" w:color="auto"/>
            </w:tcBorders>
            <w:shd w:val="clear" w:color="auto" w:fill="FFEB9C"/>
            <w:noWrap/>
            <w:vAlign w:val="center"/>
          </w:tcPr>
          <w:p w:rsidR="0055216E" w:rsidRDefault="00954509">
            <w:pPr>
              <w:spacing w:after="180"/>
              <w:jc w:val="center"/>
              <w:rPr>
                <w:b/>
                <w:bCs/>
                <w:szCs w:val="21"/>
              </w:rPr>
            </w:pPr>
            <w:r>
              <w:rPr>
                <w:b/>
                <w:bCs/>
              </w:rPr>
              <w:lastRenderedPageBreak/>
              <w:t>Parameter</w:t>
            </w:r>
          </w:p>
        </w:tc>
        <w:tc>
          <w:tcPr>
            <w:tcW w:w="8016" w:type="dxa"/>
            <w:gridSpan w:val="2"/>
            <w:tcBorders>
              <w:top w:val="single" w:sz="4" w:space="0" w:color="auto"/>
              <w:left w:val="single" w:sz="4" w:space="0" w:color="auto"/>
              <w:bottom w:val="single" w:sz="4" w:space="0" w:color="auto"/>
              <w:right w:val="single" w:sz="4" w:space="0" w:color="auto"/>
            </w:tcBorders>
            <w:shd w:val="clear" w:color="auto" w:fill="FFEB9C"/>
            <w:noWrap/>
            <w:vAlign w:val="center"/>
          </w:tcPr>
          <w:p w:rsidR="0055216E" w:rsidRDefault="00954509">
            <w:pPr>
              <w:spacing w:after="180"/>
              <w:ind w:firstLine="442"/>
              <w:jc w:val="center"/>
              <w:rPr>
                <w:b/>
                <w:bCs/>
              </w:rPr>
            </w:pPr>
            <w:r>
              <w:rPr>
                <w:b/>
                <w:bCs/>
              </w:rPr>
              <w:t>Value</w:t>
            </w:r>
          </w:p>
        </w:tc>
      </w:tr>
      <w:tr w:rsidR="0055216E">
        <w:trPr>
          <w:trHeight w:val="285"/>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Carrier Frequency</w:t>
            </w:r>
          </w:p>
        </w:tc>
        <w:tc>
          <w:tcPr>
            <w:tcW w:w="3339" w:type="dxa"/>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40"/>
              <w:jc w:val="center"/>
            </w:pPr>
            <w:r w:rsidRPr="008C7B12">
              <w:t>4GHz</w:t>
            </w:r>
          </w:p>
        </w:tc>
        <w:tc>
          <w:tcPr>
            <w:tcW w:w="4677" w:type="dxa"/>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40"/>
              <w:jc w:val="center"/>
            </w:pPr>
            <w:r w:rsidRPr="008C7B12">
              <w:t>30GHz</w:t>
            </w:r>
          </w:p>
        </w:tc>
      </w:tr>
      <w:tr w:rsidR="0055216E">
        <w:trPr>
          <w:trHeight w:val="285"/>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Bandwidth</w:t>
            </w:r>
          </w:p>
        </w:tc>
        <w:tc>
          <w:tcPr>
            <w:tcW w:w="8016" w:type="dxa"/>
            <w:gridSpan w:val="2"/>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40"/>
              <w:jc w:val="center"/>
            </w:pPr>
            <w:r w:rsidRPr="008C7B12">
              <w:t>20MHz</w:t>
            </w:r>
          </w:p>
        </w:tc>
      </w:tr>
      <w:tr w:rsidR="0055216E">
        <w:trPr>
          <w:trHeight w:val="64"/>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SCS</w:t>
            </w:r>
          </w:p>
        </w:tc>
        <w:tc>
          <w:tcPr>
            <w:tcW w:w="3339" w:type="dxa"/>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20"/>
              <w:jc w:val="center"/>
            </w:pPr>
            <w:r w:rsidRPr="008C7B12">
              <w:t>30kHz</w:t>
            </w:r>
          </w:p>
        </w:tc>
        <w:tc>
          <w:tcPr>
            <w:tcW w:w="4677" w:type="dxa"/>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20"/>
              <w:jc w:val="center"/>
            </w:pPr>
            <w:r w:rsidRPr="008C7B12">
              <w:t>120kHz</w:t>
            </w:r>
          </w:p>
        </w:tc>
      </w:tr>
      <w:tr w:rsidR="0055216E">
        <w:trPr>
          <w:trHeight w:val="285"/>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Network Layout</w:t>
            </w:r>
          </w:p>
        </w:tc>
        <w:tc>
          <w:tcPr>
            <w:tcW w:w="8016" w:type="dxa"/>
            <w:gridSpan w:val="2"/>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40"/>
              <w:jc w:val="center"/>
            </w:pPr>
            <w:r w:rsidRPr="008C7B12">
              <w:t xml:space="preserve">Outdoor FWA (38.901): </w:t>
            </w:r>
            <w:proofErr w:type="spellStart"/>
            <w:r w:rsidRPr="008C7B12">
              <w:t>UMa</w:t>
            </w:r>
            <w:proofErr w:type="spellEnd"/>
          </w:p>
        </w:tc>
      </w:tr>
      <w:tr w:rsidR="0055216E">
        <w:trPr>
          <w:trHeight w:val="285"/>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Macro BS antenna configuration</w:t>
            </w:r>
          </w:p>
        </w:tc>
        <w:tc>
          <w:tcPr>
            <w:tcW w:w="3339" w:type="dxa"/>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40"/>
              <w:jc w:val="center"/>
            </w:pPr>
            <w:r w:rsidRPr="008C7B12">
              <w:t xml:space="preserve">(M, N, P, Mg, Ng; </w:t>
            </w:r>
            <w:proofErr w:type="spellStart"/>
            <w:r w:rsidRPr="008C7B12">
              <w:t>Mp</w:t>
            </w:r>
            <w:proofErr w:type="spellEnd"/>
            <w:r w:rsidRPr="008C7B12">
              <w:t>, Np) = (1,1,2,4,4; 1,1).</w:t>
            </w:r>
          </w:p>
          <w:p w:rsidR="0055216E" w:rsidRPr="008C7B12" w:rsidRDefault="00954509">
            <w:pPr>
              <w:spacing w:after="180"/>
              <w:ind w:firstLine="440"/>
              <w:jc w:val="center"/>
            </w:pPr>
            <w:r w:rsidRPr="008C7B12">
              <w:t>(</w:t>
            </w:r>
            <w:proofErr w:type="spellStart"/>
            <w:r w:rsidRPr="008C7B12">
              <w:t>dH,dV</w:t>
            </w:r>
            <w:proofErr w:type="spellEnd"/>
            <w:r w:rsidRPr="008C7B12">
              <w:t>) = (0.5, 0.8)λ</w:t>
            </w:r>
          </w:p>
        </w:tc>
        <w:tc>
          <w:tcPr>
            <w:tcW w:w="4677" w:type="dxa"/>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40"/>
              <w:jc w:val="center"/>
            </w:pPr>
            <w:r w:rsidRPr="008C7B12">
              <w:t xml:space="preserve">(M, N, P, Mg, Ng; </w:t>
            </w:r>
            <w:proofErr w:type="spellStart"/>
            <w:r w:rsidRPr="008C7B12">
              <w:t>Mp</w:t>
            </w:r>
            <w:proofErr w:type="spellEnd"/>
            <w:r w:rsidRPr="008C7B12">
              <w:t>, Np) = (4,4,2,1,1; 1,2).</w:t>
            </w:r>
          </w:p>
          <w:p w:rsidR="0055216E" w:rsidRPr="008C7B12" w:rsidRDefault="00954509">
            <w:pPr>
              <w:spacing w:after="180"/>
              <w:ind w:firstLine="440"/>
              <w:jc w:val="center"/>
            </w:pPr>
            <w:r w:rsidRPr="008C7B12">
              <w:t>(</w:t>
            </w:r>
            <w:proofErr w:type="spellStart"/>
            <w:r w:rsidRPr="008C7B12">
              <w:t>dH,dV</w:t>
            </w:r>
            <w:proofErr w:type="spellEnd"/>
            <w:r w:rsidRPr="008C7B12">
              <w:t>) = (0.5, 0.8)λ</w:t>
            </w:r>
          </w:p>
        </w:tc>
      </w:tr>
      <w:tr w:rsidR="0055216E">
        <w:trPr>
          <w:trHeight w:val="285"/>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Micro BS antenna configuration</w:t>
            </w:r>
          </w:p>
        </w:tc>
        <w:tc>
          <w:tcPr>
            <w:tcW w:w="3339" w:type="dxa"/>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40"/>
              <w:jc w:val="center"/>
            </w:pPr>
            <w:r w:rsidRPr="008C7B12">
              <w:t xml:space="preserve">(M, N, P, Mg, Ng; </w:t>
            </w:r>
            <w:proofErr w:type="spellStart"/>
            <w:r w:rsidRPr="008C7B12">
              <w:t>Mp</w:t>
            </w:r>
            <w:proofErr w:type="spellEnd"/>
            <w:r w:rsidRPr="008C7B12">
              <w:t>, Np) = (1,1,2,2,2; 1,1).</w:t>
            </w:r>
          </w:p>
          <w:p w:rsidR="0055216E" w:rsidRPr="008C7B12" w:rsidRDefault="00954509">
            <w:pPr>
              <w:spacing w:after="180"/>
              <w:ind w:firstLine="440"/>
              <w:jc w:val="center"/>
            </w:pPr>
            <w:r w:rsidRPr="008C7B12">
              <w:t>(</w:t>
            </w:r>
            <w:proofErr w:type="spellStart"/>
            <w:r w:rsidRPr="008C7B12">
              <w:t>dH,dV</w:t>
            </w:r>
            <w:proofErr w:type="spellEnd"/>
            <w:r w:rsidRPr="008C7B12">
              <w:t>) = (0.5, 0.8)λ</w:t>
            </w:r>
          </w:p>
        </w:tc>
        <w:tc>
          <w:tcPr>
            <w:tcW w:w="4677" w:type="dxa"/>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40"/>
              <w:jc w:val="center"/>
            </w:pPr>
            <w:r w:rsidRPr="008C7B12">
              <w:t xml:space="preserve">(M, N, P, Mg, Ng; </w:t>
            </w:r>
            <w:proofErr w:type="spellStart"/>
            <w:r w:rsidRPr="008C7B12">
              <w:t>Mp</w:t>
            </w:r>
            <w:proofErr w:type="spellEnd"/>
            <w:r w:rsidRPr="008C7B12">
              <w:t>, Np) = (2,2,2,1,1; 1,1).</w:t>
            </w:r>
          </w:p>
          <w:p w:rsidR="0055216E" w:rsidRPr="008C7B12" w:rsidRDefault="00954509">
            <w:pPr>
              <w:spacing w:after="180"/>
              <w:ind w:firstLine="440"/>
              <w:jc w:val="center"/>
            </w:pPr>
            <w:r w:rsidRPr="008C7B12">
              <w:t>(</w:t>
            </w:r>
            <w:proofErr w:type="spellStart"/>
            <w:r w:rsidRPr="008C7B12">
              <w:t>dH,dV</w:t>
            </w:r>
            <w:proofErr w:type="spellEnd"/>
            <w:r w:rsidRPr="008C7B12">
              <w:t>) = (0.5, 0.8)λ</w:t>
            </w:r>
          </w:p>
        </w:tc>
      </w:tr>
      <w:tr w:rsidR="0055216E">
        <w:trPr>
          <w:trHeight w:val="285"/>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UE antenna configuration</w:t>
            </w:r>
          </w:p>
        </w:tc>
        <w:tc>
          <w:tcPr>
            <w:tcW w:w="3339" w:type="dxa"/>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jc w:val="center"/>
            </w:pPr>
            <w:r w:rsidRPr="008C7B12">
              <w:t xml:space="preserve">4Tx: (M, N, P, Mg, Ng; </w:t>
            </w:r>
            <w:proofErr w:type="spellStart"/>
            <w:r w:rsidRPr="008C7B12">
              <w:t>Mp</w:t>
            </w:r>
            <w:proofErr w:type="spellEnd"/>
            <w:r w:rsidRPr="008C7B12">
              <w:t xml:space="preserve">, Np) = (1,1,2,1,2; 1,1). </w:t>
            </w:r>
          </w:p>
          <w:p w:rsidR="0055216E" w:rsidRPr="008C7B12" w:rsidRDefault="00954509">
            <w:pPr>
              <w:spacing w:after="180"/>
              <w:jc w:val="center"/>
            </w:pPr>
            <w:r w:rsidRPr="008C7B12">
              <w:t>(</w:t>
            </w:r>
            <w:proofErr w:type="spellStart"/>
            <w:r w:rsidRPr="008C7B12">
              <w:t>dH,dV</w:t>
            </w:r>
            <w:proofErr w:type="spellEnd"/>
            <w:r w:rsidRPr="008C7B12">
              <w:t>) = (0.5, 0.5)λ</w:t>
            </w:r>
          </w:p>
        </w:tc>
        <w:tc>
          <w:tcPr>
            <w:tcW w:w="4677" w:type="dxa"/>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jc w:val="center"/>
            </w:pPr>
            <w:r w:rsidRPr="008C7B12">
              <w:t xml:space="preserve">4Tx: (M, N, P, Mg, Ng; </w:t>
            </w:r>
            <w:proofErr w:type="spellStart"/>
            <w:r w:rsidRPr="008C7B12">
              <w:t>Mp</w:t>
            </w:r>
            <w:proofErr w:type="spellEnd"/>
            <w:r w:rsidRPr="008C7B12">
              <w:t xml:space="preserve">, Np) = (2,2,2,1,1; 2,1). </w:t>
            </w:r>
          </w:p>
          <w:p w:rsidR="0055216E" w:rsidRPr="008C7B12" w:rsidRDefault="00954509">
            <w:pPr>
              <w:spacing w:after="180"/>
              <w:jc w:val="center"/>
            </w:pPr>
            <w:r w:rsidRPr="008C7B12">
              <w:t>(</w:t>
            </w:r>
            <w:proofErr w:type="spellStart"/>
            <w:r w:rsidRPr="008C7B12">
              <w:t>dH,dV</w:t>
            </w:r>
            <w:proofErr w:type="spellEnd"/>
            <w:r w:rsidRPr="008C7B12">
              <w:t>) = (0.5, 0.5)λ</w:t>
            </w:r>
          </w:p>
        </w:tc>
      </w:tr>
      <w:tr w:rsidR="0055216E">
        <w:trPr>
          <w:trHeight w:val="285"/>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Scheduling</w:t>
            </w:r>
          </w:p>
        </w:tc>
        <w:tc>
          <w:tcPr>
            <w:tcW w:w="8016" w:type="dxa"/>
            <w:gridSpan w:val="2"/>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40"/>
              <w:jc w:val="center"/>
            </w:pPr>
            <w:proofErr w:type="spellStart"/>
            <w:r w:rsidRPr="008C7B12">
              <w:t>Subband</w:t>
            </w:r>
            <w:proofErr w:type="spellEnd"/>
            <w:r w:rsidRPr="008C7B12">
              <w:t xml:space="preserve"> PF</w:t>
            </w:r>
          </w:p>
        </w:tc>
      </w:tr>
      <w:tr w:rsidR="0055216E">
        <w:trPr>
          <w:trHeight w:val="50"/>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Traffic model</w:t>
            </w:r>
          </w:p>
        </w:tc>
        <w:tc>
          <w:tcPr>
            <w:tcW w:w="8016" w:type="dxa"/>
            <w:gridSpan w:val="2"/>
            <w:tcBorders>
              <w:top w:val="single" w:sz="4" w:space="0" w:color="auto"/>
              <w:left w:val="single" w:sz="4" w:space="0" w:color="auto"/>
              <w:bottom w:val="single" w:sz="4" w:space="0" w:color="auto"/>
              <w:right w:val="single" w:sz="4" w:space="0" w:color="auto"/>
            </w:tcBorders>
            <w:vAlign w:val="center"/>
          </w:tcPr>
          <w:p w:rsidR="0055216E" w:rsidRPr="008C7B12" w:rsidRDefault="00954509">
            <w:pPr>
              <w:spacing w:after="180"/>
              <w:ind w:firstLine="440"/>
              <w:jc w:val="center"/>
            </w:pPr>
            <w:proofErr w:type="spellStart"/>
            <w:r w:rsidRPr="008C7B12">
              <w:t>fullbuffer</w:t>
            </w:r>
            <w:proofErr w:type="spellEnd"/>
          </w:p>
        </w:tc>
      </w:tr>
      <w:tr w:rsidR="0055216E">
        <w:trPr>
          <w:trHeight w:val="285"/>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ISD</w:t>
            </w:r>
          </w:p>
        </w:tc>
        <w:tc>
          <w:tcPr>
            <w:tcW w:w="3339" w:type="dxa"/>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40"/>
              <w:jc w:val="center"/>
            </w:pPr>
            <w:r w:rsidRPr="008C7B12">
              <w:t>500 m</w:t>
            </w:r>
          </w:p>
        </w:tc>
        <w:tc>
          <w:tcPr>
            <w:tcW w:w="4677" w:type="dxa"/>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40"/>
              <w:jc w:val="center"/>
            </w:pPr>
            <w:r w:rsidRPr="008C7B12">
              <w:t>200 m</w:t>
            </w:r>
          </w:p>
        </w:tc>
      </w:tr>
      <w:tr w:rsidR="0055216E">
        <w:trPr>
          <w:trHeight w:val="285"/>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rPr>
                <w:color w:val="FF0000"/>
              </w:rPr>
            </w:pPr>
            <w:r w:rsidRPr="008C7B12">
              <w:t>UE layout</w:t>
            </w:r>
          </w:p>
        </w:tc>
        <w:tc>
          <w:tcPr>
            <w:tcW w:w="8016" w:type="dxa"/>
            <w:gridSpan w:val="2"/>
            <w:tcBorders>
              <w:top w:val="single" w:sz="4" w:space="0" w:color="auto"/>
              <w:left w:val="single" w:sz="4" w:space="0" w:color="auto"/>
              <w:bottom w:val="single" w:sz="4" w:space="0" w:color="auto"/>
              <w:right w:val="single" w:sz="4" w:space="0" w:color="auto"/>
            </w:tcBorders>
            <w:noWrap/>
            <w:vAlign w:val="center"/>
          </w:tcPr>
          <w:p w:rsidR="0055216E" w:rsidRPr="008C7B12" w:rsidRDefault="00954509">
            <w:pPr>
              <w:spacing w:after="180"/>
              <w:ind w:firstLine="440"/>
              <w:jc w:val="center"/>
            </w:pPr>
            <w:r w:rsidRPr="008C7B12">
              <w:t xml:space="preserve">80% indoor (3km/h), 20% outdoor(30km/h), </w:t>
            </w:r>
          </w:p>
          <w:p w:rsidR="0055216E" w:rsidRPr="008C7B12" w:rsidRDefault="00954509">
            <w:pPr>
              <w:spacing w:after="180"/>
              <w:ind w:firstLine="440"/>
              <w:jc w:val="center"/>
            </w:pPr>
            <w:r w:rsidRPr="008C7B12">
              <w:t>50%/50% high/low indoor pen. loss</w:t>
            </w:r>
          </w:p>
        </w:tc>
      </w:tr>
      <w:tr w:rsidR="0055216E">
        <w:trPr>
          <w:trHeight w:val="64"/>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Number of UEs per macro cell</w:t>
            </w:r>
          </w:p>
        </w:tc>
        <w:tc>
          <w:tcPr>
            <w:tcW w:w="8016" w:type="dxa"/>
            <w:gridSpan w:val="2"/>
            <w:tcBorders>
              <w:top w:val="single" w:sz="4" w:space="0" w:color="auto"/>
              <w:left w:val="single" w:sz="4" w:space="0" w:color="auto"/>
              <w:bottom w:val="single" w:sz="4" w:space="0" w:color="auto"/>
              <w:right w:val="single" w:sz="4" w:space="0" w:color="auto"/>
            </w:tcBorders>
            <w:vAlign w:val="center"/>
          </w:tcPr>
          <w:p w:rsidR="0055216E" w:rsidRPr="008C7B12" w:rsidRDefault="00954509">
            <w:pPr>
              <w:spacing w:after="180"/>
              <w:ind w:firstLine="440"/>
              <w:jc w:val="center"/>
            </w:pPr>
            <w:r w:rsidRPr="008C7B12">
              <w:t>10</w:t>
            </w:r>
          </w:p>
        </w:tc>
      </w:tr>
      <w:tr w:rsidR="0055216E">
        <w:trPr>
          <w:trHeight w:val="64"/>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Macro BS Tx power</w:t>
            </w:r>
          </w:p>
        </w:tc>
        <w:tc>
          <w:tcPr>
            <w:tcW w:w="8016" w:type="dxa"/>
            <w:gridSpan w:val="2"/>
            <w:tcBorders>
              <w:top w:val="single" w:sz="4" w:space="0" w:color="auto"/>
              <w:left w:val="single" w:sz="4" w:space="0" w:color="auto"/>
              <w:bottom w:val="single" w:sz="4" w:space="0" w:color="auto"/>
              <w:right w:val="single" w:sz="4" w:space="0" w:color="auto"/>
            </w:tcBorders>
            <w:vAlign w:val="center"/>
          </w:tcPr>
          <w:p w:rsidR="0055216E" w:rsidRPr="008C7B12" w:rsidRDefault="00954509">
            <w:pPr>
              <w:spacing w:after="180"/>
              <w:ind w:firstLine="440"/>
              <w:jc w:val="center"/>
            </w:pPr>
            <w:r w:rsidRPr="008C7B12">
              <w:t>44 dBm</w:t>
            </w:r>
          </w:p>
        </w:tc>
      </w:tr>
      <w:tr w:rsidR="0055216E">
        <w:trPr>
          <w:trHeight w:val="64"/>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Micro BS TX power(HetNet)</w:t>
            </w:r>
          </w:p>
        </w:tc>
        <w:tc>
          <w:tcPr>
            <w:tcW w:w="8016" w:type="dxa"/>
            <w:gridSpan w:val="2"/>
            <w:tcBorders>
              <w:top w:val="single" w:sz="4" w:space="0" w:color="auto"/>
              <w:left w:val="single" w:sz="4" w:space="0" w:color="auto"/>
              <w:bottom w:val="single" w:sz="4" w:space="0" w:color="auto"/>
              <w:right w:val="single" w:sz="4" w:space="0" w:color="auto"/>
            </w:tcBorders>
            <w:vAlign w:val="center"/>
          </w:tcPr>
          <w:p w:rsidR="0055216E" w:rsidRPr="008C7B12" w:rsidRDefault="00954509">
            <w:pPr>
              <w:spacing w:after="180"/>
              <w:ind w:firstLine="440"/>
              <w:jc w:val="center"/>
            </w:pPr>
            <w:r w:rsidRPr="008C7B12">
              <w:t>33 dBm</w:t>
            </w:r>
          </w:p>
        </w:tc>
      </w:tr>
      <w:tr w:rsidR="0055216E">
        <w:trPr>
          <w:trHeight w:val="64"/>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Max UE Tx power</w:t>
            </w:r>
          </w:p>
        </w:tc>
        <w:tc>
          <w:tcPr>
            <w:tcW w:w="8016" w:type="dxa"/>
            <w:gridSpan w:val="2"/>
            <w:tcBorders>
              <w:top w:val="single" w:sz="4" w:space="0" w:color="auto"/>
              <w:left w:val="single" w:sz="4" w:space="0" w:color="auto"/>
              <w:bottom w:val="single" w:sz="4" w:space="0" w:color="auto"/>
              <w:right w:val="single" w:sz="4" w:space="0" w:color="auto"/>
            </w:tcBorders>
            <w:vAlign w:val="center"/>
          </w:tcPr>
          <w:p w:rsidR="0055216E" w:rsidRPr="008C7B12" w:rsidRDefault="00954509">
            <w:pPr>
              <w:spacing w:after="180"/>
              <w:ind w:firstLine="440"/>
              <w:jc w:val="center"/>
            </w:pPr>
            <w:r w:rsidRPr="008C7B12">
              <w:t>23 dBm</w:t>
            </w:r>
          </w:p>
        </w:tc>
      </w:tr>
      <w:tr w:rsidR="0055216E">
        <w:trPr>
          <w:trHeight w:val="64"/>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UL power control</w:t>
            </w:r>
          </w:p>
        </w:tc>
        <w:tc>
          <w:tcPr>
            <w:tcW w:w="8016" w:type="dxa"/>
            <w:gridSpan w:val="2"/>
            <w:tcBorders>
              <w:top w:val="single" w:sz="4" w:space="0" w:color="auto"/>
              <w:left w:val="single" w:sz="4" w:space="0" w:color="auto"/>
              <w:bottom w:val="single" w:sz="4" w:space="0" w:color="auto"/>
              <w:right w:val="single" w:sz="4" w:space="0" w:color="auto"/>
            </w:tcBorders>
            <w:vAlign w:val="center"/>
          </w:tcPr>
          <w:p w:rsidR="0055216E" w:rsidRPr="008C7B12" w:rsidRDefault="00954509">
            <w:pPr>
              <w:spacing w:after="180"/>
              <w:ind w:firstLine="440"/>
              <w:jc w:val="center"/>
            </w:pPr>
            <w:r w:rsidRPr="008C7B12">
              <w:t>Open loop TPC</w:t>
            </w:r>
          </w:p>
        </w:tc>
      </w:tr>
      <w:tr w:rsidR="0055216E">
        <w:trPr>
          <w:trHeight w:val="64"/>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power control parameter</w:t>
            </w:r>
          </w:p>
        </w:tc>
        <w:tc>
          <w:tcPr>
            <w:tcW w:w="8016" w:type="dxa"/>
            <w:gridSpan w:val="2"/>
            <w:tcBorders>
              <w:top w:val="single" w:sz="4" w:space="0" w:color="auto"/>
              <w:left w:val="single" w:sz="4" w:space="0" w:color="auto"/>
              <w:bottom w:val="single" w:sz="4" w:space="0" w:color="auto"/>
              <w:right w:val="single" w:sz="4" w:space="0" w:color="auto"/>
            </w:tcBorders>
            <w:vAlign w:val="center"/>
          </w:tcPr>
          <w:p w:rsidR="0055216E" w:rsidRPr="008C7B12" w:rsidRDefault="00954509">
            <w:pPr>
              <w:spacing w:after="180"/>
              <w:ind w:firstLine="440"/>
              <w:jc w:val="center"/>
            </w:pPr>
            <w:r w:rsidRPr="008C7B12">
              <w:t>P0 = -60, Alpha = 0.8</w:t>
            </w:r>
          </w:p>
        </w:tc>
      </w:tr>
      <w:tr w:rsidR="0055216E">
        <w:trPr>
          <w:trHeight w:val="64"/>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lastRenderedPageBreak/>
              <w:t>Modulation</w:t>
            </w:r>
          </w:p>
        </w:tc>
        <w:tc>
          <w:tcPr>
            <w:tcW w:w="8016" w:type="dxa"/>
            <w:gridSpan w:val="2"/>
            <w:tcBorders>
              <w:top w:val="single" w:sz="4" w:space="0" w:color="auto"/>
              <w:left w:val="single" w:sz="4" w:space="0" w:color="auto"/>
              <w:bottom w:val="single" w:sz="4" w:space="0" w:color="auto"/>
              <w:right w:val="single" w:sz="4" w:space="0" w:color="auto"/>
            </w:tcBorders>
            <w:vAlign w:val="center"/>
          </w:tcPr>
          <w:p w:rsidR="0055216E" w:rsidRPr="008C7B12" w:rsidRDefault="00954509">
            <w:pPr>
              <w:spacing w:after="180"/>
              <w:ind w:firstLine="440"/>
              <w:jc w:val="center"/>
            </w:pPr>
            <w:r w:rsidRPr="008C7B12">
              <w:t>Up to 64QAM</w:t>
            </w:r>
          </w:p>
        </w:tc>
      </w:tr>
      <w:tr w:rsidR="0055216E">
        <w:trPr>
          <w:trHeight w:val="64"/>
          <w:jc w:val="center"/>
        </w:trPr>
        <w:tc>
          <w:tcPr>
            <w:tcW w:w="1334" w:type="dxa"/>
            <w:tcBorders>
              <w:top w:val="single" w:sz="4" w:space="0" w:color="auto"/>
              <w:left w:val="single" w:sz="4" w:space="0" w:color="auto"/>
              <w:bottom w:val="single" w:sz="4" w:space="0" w:color="auto"/>
              <w:right w:val="single" w:sz="4" w:space="0" w:color="auto"/>
            </w:tcBorders>
            <w:shd w:val="clear" w:color="auto" w:fill="B8CCE4"/>
            <w:vAlign w:val="center"/>
          </w:tcPr>
          <w:p w:rsidR="0055216E" w:rsidRPr="008C7B12" w:rsidRDefault="00954509">
            <w:pPr>
              <w:spacing w:after="180"/>
              <w:jc w:val="center"/>
            </w:pPr>
            <w:r w:rsidRPr="008C7B12">
              <w:t>Layer</w:t>
            </w:r>
          </w:p>
        </w:tc>
        <w:tc>
          <w:tcPr>
            <w:tcW w:w="8016" w:type="dxa"/>
            <w:gridSpan w:val="2"/>
            <w:tcBorders>
              <w:top w:val="single" w:sz="4" w:space="0" w:color="auto"/>
              <w:left w:val="single" w:sz="4" w:space="0" w:color="auto"/>
              <w:bottom w:val="single" w:sz="4" w:space="0" w:color="auto"/>
              <w:right w:val="single" w:sz="4" w:space="0" w:color="auto"/>
            </w:tcBorders>
            <w:vAlign w:val="center"/>
          </w:tcPr>
          <w:p w:rsidR="0055216E" w:rsidRPr="008C7B12" w:rsidRDefault="00954509">
            <w:pPr>
              <w:spacing w:after="180"/>
              <w:jc w:val="center"/>
            </w:pPr>
            <w:r w:rsidRPr="008C7B12">
              <w:t>Adaptive from 1 to 4</w:t>
            </w:r>
          </w:p>
        </w:tc>
      </w:tr>
    </w:tbl>
    <w:p w:rsidR="0055216E" w:rsidRDefault="00954509">
      <w:pPr>
        <w:pStyle w:val="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References</w:t>
      </w:r>
      <w:bookmarkStart w:id="4" w:name="_Ref446506608"/>
      <w:bookmarkStart w:id="5" w:name="_Ref446511358"/>
      <w:bookmarkStart w:id="6" w:name="_Ref446507216"/>
      <w:bookmarkEnd w:id="4"/>
      <w:bookmarkEnd w:id="5"/>
      <w:bookmarkEnd w:id="6"/>
    </w:p>
    <w:p w:rsidR="0055216E" w:rsidRDefault="00954509">
      <w:pPr>
        <w:pStyle w:val="References"/>
        <w:spacing w:beforeLines="0" w:before="0" w:afterLines="0" w:after="0"/>
        <w:ind w:left="363" w:hanging="363"/>
        <w:rPr>
          <w:rFonts w:eastAsia="宋体"/>
          <w:szCs w:val="20"/>
        </w:rPr>
      </w:pPr>
      <w:r>
        <w:rPr>
          <w:bCs/>
          <w:szCs w:val="20"/>
        </w:rPr>
        <w:t>RP-2</w:t>
      </w:r>
      <w:r>
        <w:rPr>
          <w:rFonts w:eastAsia="宋体" w:hint="eastAsia"/>
          <w:bCs/>
          <w:szCs w:val="20"/>
        </w:rPr>
        <w:t>34007</w:t>
      </w:r>
      <w:r>
        <w:rPr>
          <w:bCs/>
          <w:szCs w:val="20"/>
        </w:rPr>
        <w:t xml:space="preserve">, New WID: </w:t>
      </w:r>
      <w:r>
        <w:rPr>
          <w:rFonts w:eastAsia="宋体" w:hint="eastAsia"/>
          <w:bCs/>
          <w:szCs w:val="20"/>
        </w:rPr>
        <w:t>NR MIMO Phase 5</w:t>
      </w:r>
      <w:r>
        <w:rPr>
          <w:bCs/>
          <w:szCs w:val="20"/>
        </w:rPr>
        <w:t>, Moderator</w:t>
      </w:r>
      <w:r>
        <w:rPr>
          <w:rFonts w:eastAsia="宋体" w:hint="eastAsia"/>
          <w:bCs/>
          <w:szCs w:val="20"/>
        </w:rPr>
        <w:t xml:space="preserve"> (</w:t>
      </w:r>
      <w:r>
        <w:rPr>
          <w:bCs/>
          <w:szCs w:val="20"/>
        </w:rPr>
        <w:t>Samsung</w:t>
      </w:r>
      <w:r>
        <w:rPr>
          <w:rFonts w:eastAsia="宋体" w:hint="eastAsia"/>
          <w:bCs/>
          <w:szCs w:val="20"/>
        </w:rPr>
        <w:t>)</w:t>
      </w:r>
    </w:p>
    <w:p w:rsidR="0055216E" w:rsidRDefault="00954509">
      <w:pPr>
        <w:pStyle w:val="References"/>
        <w:spacing w:beforeLines="0" w:before="0" w:afterLines="0" w:after="0"/>
        <w:ind w:left="363" w:hanging="363"/>
        <w:rPr>
          <w:rFonts w:eastAsia="宋体"/>
          <w:szCs w:val="20"/>
        </w:rPr>
      </w:pPr>
      <w:bookmarkStart w:id="7" w:name="OLE_LINK1"/>
      <w:bookmarkStart w:id="8" w:name="OLE_LINK2"/>
      <w:r>
        <w:rPr>
          <w:szCs w:val="20"/>
        </w:rPr>
        <w:t>Chair's Notes RAN1#1</w:t>
      </w:r>
      <w:r>
        <w:rPr>
          <w:rFonts w:eastAsia="宋体"/>
          <w:szCs w:val="20"/>
        </w:rPr>
        <w:t>17</w:t>
      </w:r>
      <w:r>
        <w:rPr>
          <w:rFonts w:eastAsia="宋体" w:hint="eastAsia"/>
          <w:szCs w:val="20"/>
        </w:rPr>
        <w:t>,</w:t>
      </w:r>
      <w:r>
        <w:rPr>
          <w:rFonts w:eastAsia="宋体"/>
          <w:szCs w:val="20"/>
        </w:rPr>
        <w:t xml:space="preserve"> May</w:t>
      </w:r>
      <w:r>
        <w:rPr>
          <w:rFonts w:eastAsia="宋体" w:hint="eastAsia"/>
          <w:szCs w:val="20"/>
        </w:rPr>
        <w:t xml:space="preserve"> </w:t>
      </w:r>
      <w:r>
        <w:rPr>
          <w:rFonts w:eastAsia="宋体"/>
          <w:szCs w:val="20"/>
        </w:rPr>
        <w:t>20</w:t>
      </w:r>
      <w:r>
        <w:rPr>
          <w:szCs w:val="20"/>
          <w:vertAlign w:val="superscript"/>
        </w:rPr>
        <w:t>th</w:t>
      </w:r>
      <w:r>
        <w:rPr>
          <w:szCs w:val="20"/>
        </w:rPr>
        <w:t>-</w:t>
      </w:r>
      <w:r>
        <w:rPr>
          <w:rFonts w:eastAsia="宋体" w:hint="eastAsia"/>
          <w:szCs w:val="20"/>
        </w:rPr>
        <w:t xml:space="preserve"> </w:t>
      </w:r>
      <w:r>
        <w:rPr>
          <w:rFonts w:eastAsia="宋体"/>
          <w:szCs w:val="20"/>
        </w:rPr>
        <w:t>24</w:t>
      </w:r>
      <w:r>
        <w:rPr>
          <w:szCs w:val="20"/>
          <w:vertAlign w:val="superscript"/>
        </w:rPr>
        <w:t>th</w:t>
      </w:r>
      <w:r>
        <w:rPr>
          <w:szCs w:val="20"/>
        </w:rPr>
        <w:t>, 202</w:t>
      </w:r>
      <w:r>
        <w:rPr>
          <w:rFonts w:eastAsia="宋体"/>
          <w:szCs w:val="20"/>
        </w:rPr>
        <w:t>4</w:t>
      </w:r>
      <w:r>
        <w:rPr>
          <w:szCs w:val="20"/>
        </w:rPr>
        <w:t>,</w:t>
      </w:r>
      <w:r>
        <w:rPr>
          <w:rFonts w:eastAsia="宋体"/>
          <w:szCs w:val="20"/>
        </w:rPr>
        <w:t xml:space="preserve"> </w:t>
      </w:r>
      <w:r>
        <w:rPr>
          <w:szCs w:val="20"/>
        </w:rPr>
        <w:t>3GPP</w:t>
      </w:r>
      <w:r>
        <w:rPr>
          <w:rFonts w:eastAsia="宋体"/>
          <w:szCs w:val="20"/>
        </w:rPr>
        <w:t xml:space="preserve"> RAN1</w:t>
      </w:r>
    </w:p>
    <w:p w:rsidR="0055216E" w:rsidRDefault="00954509">
      <w:pPr>
        <w:pStyle w:val="References"/>
        <w:spacing w:beforeLines="0" w:before="0" w:afterLines="0" w:after="0"/>
        <w:ind w:left="363" w:hanging="363"/>
        <w:rPr>
          <w:bCs/>
          <w:szCs w:val="20"/>
        </w:rPr>
      </w:pPr>
      <w:r>
        <w:rPr>
          <w:bCs/>
          <w:szCs w:val="20"/>
        </w:rPr>
        <w:t>3GPP TS 38.</w:t>
      </w:r>
      <w:r>
        <w:rPr>
          <w:rFonts w:eastAsia="宋体" w:hint="eastAsia"/>
          <w:bCs/>
          <w:szCs w:val="20"/>
        </w:rPr>
        <w:t>133</w:t>
      </w:r>
      <w:r>
        <w:rPr>
          <w:bCs/>
          <w:szCs w:val="20"/>
        </w:rPr>
        <w:t xml:space="preserve">: "NR; </w:t>
      </w:r>
      <w:r>
        <w:rPr>
          <w:rFonts w:cs="v4.2.0"/>
          <w:szCs w:val="20"/>
        </w:rPr>
        <w:t>Requirements for support of radio resource management</w:t>
      </w:r>
      <w:r>
        <w:rPr>
          <w:bCs/>
          <w:szCs w:val="20"/>
        </w:rPr>
        <w:t>"</w:t>
      </w:r>
    </w:p>
    <w:p w:rsidR="0055216E" w:rsidRDefault="00954509">
      <w:pPr>
        <w:pStyle w:val="References"/>
        <w:spacing w:beforeLines="0" w:before="0" w:afterLines="0" w:after="0"/>
        <w:ind w:left="363" w:hanging="363"/>
        <w:rPr>
          <w:bCs/>
          <w:szCs w:val="20"/>
        </w:rPr>
      </w:pPr>
      <w:r>
        <w:rPr>
          <w:bCs/>
          <w:szCs w:val="20"/>
        </w:rPr>
        <w:t>R1-2</w:t>
      </w:r>
      <w:r>
        <w:rPr>
          <w:rFonts w:eastAsia="宋体"/>
          <w:bCs/>
          <w:szCs w:val="20"/>
        </w:rPr>
        <w:t>400281</w:t>
      </w:r>
      <w:r>
        <w:rPr>
          <w:bCs/>
          <w:szCs w:val="20"/>
        </w:rPr>
        <w:t xml:space="preserve">, </w:t>
      </w:r>
      <w:r>
        <w:rPr>
          <w:rFonts w:eastAsia="宋体" w:hint="eastAsia"/>
          <w:bCs/>
          <w:szCs w:val="20"/>
        </w:rPr>
        <w:t>Discussion on e</w:t>
      </w:r>
      <w:r>
        <w:rPr>
          <w:rFonts w:eastAsia="宋体" w:hint="eastAsia"/>
          <w:szCs w:val="20"/>
        </w:rPr>
        <w:t>nhancements for asymmetric DL sTRP/UL mTRP scenarios</w:t>
      </w:r>
      <w:r>
        <w:rPr>
          <w:bCs/>
          <w:szCs w:val="20"/>
        </w:rPr>
        <w:t>, ZTE, China Telecom</w:t>
      </w:r>
      <w:bookmarkEnd w:id="7"/>
      <w:bookmarkEnd w:id="8"/>
    </w:p>
    <w:p w:rsidR="0055216E" w:rsidRDefault="00954509">
      <w:pPr>
        <w:pStyle w:val="References"/>
        <w:spacing w:beforeLines="0" w:before="0" w:afterLines="0" w:after="0"/>
        <w:ind w:left="363" w:hanging="363"/>
        <w:rPr>
          <w:rFonts w:eastAsia="宋体"/>
          <w:szCs w:val="20"/>
        </w:rPr>
      </w:pPr>
      <w:r>
        <w:rPr>
          <w:szCs w:val="20"/>
        </w:rPr>
        <w:t>Chair's Notes RAN1#1</w:t>
      </w:r>
      <w:r>
        <w:rPr>
          <w:rFonts w:eastAsia="宋体"/>
          <w:szCs w:val="20"/>
        </w:rPr>
        <w:t>16-bis</w:t>
      </w:r>
      <w:r>
        <w:rPr>
          <w:rFonts w:eastAsia="宋体" w:hint="eastAsia"/>
          <w:szCs w:val="20"/>
        </w:rPr>
        <w:t>,</w:t>
      </w:r>
      <w:r>
        <w:rPr>
          <w:rFonts w:eastAsia="宋体"/>
          <w:szCs w:val="20"/>
        </w:rPr>
        <w:t xml:space="preserve"> April</w:t>
      </w:r>
      <w:r>
        <w:rPr>
          <w:rFonts w:eastAsia="宋体" w:hint="eastAsia"/>
          <w:szCs w:val="20"/>
        </w:rPr>
        <w:t xml:space="preserve"> </w:t>
      </w:r>
      <w:r>
        <w:rPr>
          <w:rFonts w:eastAsia="宋体"/>
          <w:szCs w:val="20"/>
        </w:rPr>
        <w:t>15</w:t>
      </w:r>
      <w:r>
        <w:rPr>
          <w:szCs w:val="20"/>
          <w:vertAlign w:val="superscript"/>
        </w:rPr>
        <w:t>th</w:t>
      </w:r>
      <w:r>
        <w:rPr>
          <w:szCs w:val="20"/>
        </w:rPr>
        <w:t>-</w:t>
      </w:r>
      <w:r>
        <w:rPr>
          <w:rFonts w:eastAsia="宋体" w:hint="eastAsia"/>
          <w:szCs w:val="20"/>
        </w:rPr>
        <w:t xml:space="preserve"> </w:t>
      </w:r>
      <w:r>
        <w:rPr>
          <w:rFonts w:eastAsia="宋体"/>
          <w:szCs w:val="20"/>
        </w:rPr>
        <w:t>19</w:t>
      </w:r>
      <w:r>
        <w:rPr>
          <w:szCs w:val="20"/>
          <w:vertAlign w:val="superscript"/>
        </w:rPr>
        <w:t>th</w:t>
      </w:r>
      <w:r>
        <w:rPr>
          <w:szCs w:val="20"/>
        </w:rPr>
        <w:t>, 202</w:t>
      </w:r>
      <w:r>
        <w:rPr>
          <w:rFonts w:eastAsia="宋体"/>
          <w:szCs w:val="20"/>
        </w:rPr>
        <w:t>4</w:t>
      </w:r>
      <w:r>
        <w:rPr>
          <w:szCs w:val="20"/>
        </w:rPr>
        <w:t>,</w:t>
      </w:r>
      <w:r>
        <w:rPr>
          <w:rFonts w:eastAsia="宋体"/>
          <w:szCs w:val="20"/>
        </w:rPr>
        <w:t xml:space="preserve"> </w:t>
      </w:r>
      <w:r>
        <w:rPr>
          <w:szCs w:val="20"/>
        </w:rPr>
        <w:t>3GPP</w:t>
      </w:r>
      <w:r>
        <w:rPr>
          <w:rFonts w:eastAsia="宋体"/>
          <w:szCs w:val="20"/>
        </w:rPr>
        <w:t xml:space="preserve"> RAN1</w:t>
      </w:r>
    </w:p>
    <w:sectPr w:rsidR="0055216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54EF" w:rsidRDefault="006154EF">
      <w:pPr>
        <w:spacing w:after="120"/>
      </w:pPr>
      <w:r>
        <w:separator/>
      </w:r>
    </w:p>
  </w:endnote>
  <w:endnote w:type="continuationSeparator" w:id="0">
    <w:p w:rsidR="006154EF" w:rsidRDefault="006154E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16E" w:rsidRDefault="0055216E">
    <w:pPr>
      <w:pStyle w:val="af4"/>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16E" w:rsidRDefault="0055216E">
    <w:pPr>
      <w:pStyle w:val="af4"/>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16E" w:rsidRDefault="0055216E">
    <w:pPr>
      <w:pStyle w:val="af4"/>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54EF" w:rsidRDefault="006154EF">
      <w:pPr>
        <w:spacing w:after="120"/>
      </w:pPr>
      <w:r>
        <w:separator/>
      </w:r>
    </w:p>
  </w:footnote>
  <w:footnote w:type="continuationSeparator" w:id="0">
    <w:p w:rsidR="006154EF" w:rsidRDefault="006154EF">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16E" w:rsidRDefault="0055216E">
    <w:pPr>
      <w:pStyle w:val="af6"/>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16E" w:rsidRDefault="0055216E">
    <w:pPr>
      <w:pStyle w:val="af6"/>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16E" w:rsidRDefault="0055216E">
    <w:pPr>
      <w:pStyle w:val="af6"/>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EF129B"/>
    <w:multiLevelType w:val="multilevel"/>
    <w:tmpl w:val="83EF129B"/>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D6D019D"/>
    <w:multiLevelType w:val="singleLevel"/>
    <w:tmpl w:val="9D6D019D"/>
    <w:lvl w:ilvl="0">
      <w:start w:val="1"/>
      <w:numFmt w:val="bullet"/>
      <w:lvlText w:val=""/>
      <w:lvlJc w:val="left"/>
      <w:pPr>
        <w:ind w:left="420" w:hanging="420"/>
      </w:pPr>
      <w:rPr>
        <w:rFonts w:ascii="Wingdings" w:hAnsi="Wingdings" w:hint="default"/>
      </w:rPr>
    </w:lvl>
  </w:abstractNum>
  <w:abstractNum w:abstractNumId="2"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 w15:restartNumberingAfterBreak="0">
    <w:nsid w:val="DAA9413D"/>
    <w:multiLevelType w:val="singleLevel"/>
    <w:tmpl w:val="DAA9413D"/>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E942B289"/>
    <w:multiLevelType w:val="multilevel"/>
    <w:tmpl w:val="E942B289"/>
    <w:lvl w:ilvl="0">
      <w:start w:val="5"/>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63A54"/>
    <w:multiLevelType w:val="multilevel"/>
    <w:tmpl w:val="07E63A54"/>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4E40D3"/>
    <w:multiLevelType w:val="multilevel"/>
    <w:tmpl w:val="1E4E40D3"/>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0" w15:restartNumberingAfterBreak="0">
    <w:nsid w:val="364120DE"/>
    <w:multiLevelType w:val="hybridMultilevel"/>
    <w:tmpl w:val="5F3AB16A"/>
    <w:lvl w:ilvl="0" w:tplc="CB60A92A">
      <w:start w:val="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C64F80"/>
    <w:multiLevelType w:val="multilevel"/>
    <w:tmpl w:val="46C64F80"/>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DAB4BB5"/>
    <w:multiLevelType w:val="multilevel"/>
    <w:tmpl w:val="4DAB4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5"/>
  </w:num>
  <w:num w:numId="4">
    <w:abstractNumId w:val="6"/>
  </w:num>
  <w:num w:numId="5">
    <w:abstractNumId w:val="11"/>
  </w:num>
  <w:num w:numId="6">
    <w:abstractNumId w:val="4"/>
  </w:num>
  <w:num w:numId="7">
    <w:abstractNumId w:val="15"/>
  </w:num>
  <w:num w:numId="8">
    <w:abstractNumId w:val="1"/>
  </w:num>
  <w:num w:numId="9">
    <w:abstractNumId w:val="17"/>
  </w:num>
  <w:num w:numId="10">
    <w:abstractNumId w:val="0"/>
  </w:num>
  <w:num w:numId="11">
    <w:abstractNumId w:val="8"/>
  </w:num>
  <w:num w:numId="12">
    <w:abstractNumId w:val="3"/>
  </w:num>
  <w:num w:numId="13">
    <w:abstractNumId w:val="14"/>
  </w:num>
  <w:num w:numId="14">
    <w:abstractNumId w:val="12"/>
  </w:num>
  <w:num w:numId="15">
    <w:abstractNumId w:val="16"/>
  </w:num>
  <w:num w:numId="16">
    <w:abstractNumId w:val="7"/>
  </w:num>
  <w:num w:numId="17">
    <w:abstractNumId w:val="1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420"/>
  <w:drawingGridHorizontalSpacing w:val="110"/>
  <w:noPunctuationKerning/>
  <w:characterSpacingControl w:val="doNotCompres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AE2"/>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B5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78F"/>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AF"/>
    <w:rsid w:val="000213E7"/>
    <w:rsid w:val="00021825"/>
    <w:rsid w:val="000218FA"/>
    <w:rsid w:val="00021DB5"/>
    <w:rsid w:val="00021E00"/>
    <w:rsid w:val="000221D5"/>
    <w:rsid w:val="000222E3"/>
    <w:rsid w:val="000225C7"/>
    <w:rsid w:val="00022C10"/>
    <w:rsid w:val="00022E7C"/>
    <w:rsid w:val="00023019"/>
    <w:rsid w:val="000230B7"/>
    <w:rsid w:val="0002336F"/>
    <w:rsid w:val="00023399"/>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342"/>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B0"/>
    <w:rsid w:val="000323AD"/>
    <w:rsid w:val="000325A9"/>
    <w:rsid w:val="00032741"/>
    <w:rsid w:val="00032C97"/>
    <w:rsid w:val="000331E5"/>
    <w:rsid w:val="000332EA"/>
    <w:rsid w:val="00033454"/>
    <w:rsid w:val="000335D4"/>
    <w:rsid w:val="00033649"/>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C8E"/>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7E7"/>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38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068"/>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35E"/>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17"/>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E86"/>
    <w:rsid w:val="00080EE0"/>
    <w:rsid w:val="00080F6B"/>
    <w:rsid w:val="00081335"/>
    <w:rsid w:val="00081434"/>
    <w:rsid w:val="00081747"/>
    <w:rsid w:val="00081867"/>
    <w:rsid w:val="000818BD"/>
    <w:rsid w:val="00081ADF"/>
    <w:rsid w:val="00081CD1"/>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6F4"/>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7BF"/>
    <w:rsid w:val="00097A1D"/>
    <w:rsid w:val="000A0121"/>
    <w:rsid w:val="000A0279"/>
    <w:rsid w:val="000A0365"/>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070"/>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CF8"/>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44E"/>
    <w:rsid w:val="000C75EC"/>
    <w:rsid w:val="000C78F5"/>
    <w:rsid w:val="000C7A0C"/>
    <w:rsid w:val="000C7AE4"/>
    <w:rsid w:val="000C7E35"/>
    <w:rsid w:val="000C7EFC"/>
    <w:rsid w:val="000D0C2E"/>
    <w:rsid w:val="000D11A2"/>
    <w:rsid w:val="000D121B"/>
    <w:rsid w:val="000D12C5"/>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4DA"/>
    <w:rsid w:val="000E1B71"/>
    <w:rsid w:val="000E1D9E"/>
    <w:rsid w:val="000E1E9A"/>
    <w:rsid w:val="000E1EB7"/>
    <w:rsid w:val="000E20C5"/>
    <w:rsid w:val="000E20DC"/>
    <w:rsid w:val="000E228D"/>
    <w:rsid w:val="000E2524"/>
    <w:rsid w:val="000E290F"/>
    <w:rsid w:val="000E29FF"/>
    <w:rsid w:val="000E2CD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2E2"/>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7B5"/>
    <w:rsid w:val="00107A48"/>
    <w:rsid w:val="00107ABA"/>
    <w:rsid w:val="00107BCF"/>
    <w:rsid w:val="00107BE0"/>
    <w:rsid w:val="00107DE3"/>
    <w:rsid w:val="00110087"/>
    <w:rsid w:val="00110103"/>
    <w:rsid w:val="0011025B"/>
    <w:rsid w:val="001102E6"/>
    <w:rsid w:val="00110925"/>
    <w:rsid w:val="00110E7D"/>
    <w:rsid w:val="0011123E"/>
    <w:rsid w:val="00111251"/>
    <w:rsid w:val="0011189E"/>
    <w:rsid w:val="00111A07"/>
    <w:rsid w:val="00111CE9"/>
    <w:rsid w:val="00111F32"/>
    <w:rsid w:val="001121E8"/>
    <w:rsid w:val="00112302"/>
    <w:rsid w:val="0011249E"/>
    <w:rsid w:val="001124F9"/>
    <w:rsid w:val="00112685"/>
    <w:rsid w:val="0011277E"/>
    <w:rsid w:val="00113305"/>
    <w:rsid w:val="00113B80"/>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326"/>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2C1C"/>
    <w:rsid w:val="00143003"/>
    <w:rsid w:val="00143421"/>
    <w:rsid w:val="001438EF"/>
    <w:rsid w:val="0014396C"/>
    <w:rsid w:val="00143BF0"/>
    <w:rsid w:val="00143EDB"/>
    <w:rsid w:val="00143F3F"/>
    <w:rsid w:val="00144384"/>
    <w:rsid w:val="00144606"/>
    <w:rsid w:val="00144662"/>
    <w:rsid w:val="00144E5F"/>
    <w:rsid w:val="00144FB2"/>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699"/>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60036"/>
    <w:rsid w:val="001602BF"/>
    <w:rsid w:val="0016043D"/>
    <w:rsid w:val="00160639"/>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4A7F"/>
    <w:rsid w:val="0017527A"/>
    <w:rsid w:val="001752E2"/>
    <w:rsid w:val="0017554E"/>
    <w:rsid w:val="001755E3"/>
    <w:rsid w:val="001758FE"/>
    <w:rsid w:val="00175977"/>
    <w:rsid w:val="00175B8D"/>
    <w:rsid w:val="00175CF2"/>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2EC5"/>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C2"/>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3AF"/>
    <w:rsid w:val="0019764F"/>
    <w:rsid w:val="00197C4B"/>
    <w:rsid w:val="00197CBE"/>
    <w:rsid w:val="00197E43"/>
    <w:rsid w:val="00197FF8"/>
    <w:rsid w:val="001A0173"/>
    <w:rsid w:val="001A0301"/>
    <w:rsid w:val="001A03C0"/>
    <w:rsid w:val="001A0BF9"/>
    <w:rsid w:val="001A0CAB"/>
    <w:rsid w:val="001A11AE"/>
    <w:rsid w:val="001A17B1"/>
    <w:rsid w:val="001A184B"/>
    <w:rsid w:val="001A18F3"/>
    <w:rsid w:val="001A19AE"/>
    <w:rsid w:val="001A1A0D"/>
    <w:rsid w:val="001A22A6"/>
    <w:rsid w:val="001A26FC"/>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A53"/>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8E"/>
    <w:rsid w:val="001B21D1"/>
    <w:rsid w:val="001B2367"/>
    <w:rsid w:val="001B24AE"/>
    <w:rsid w:val="001B294F"/>
    <w:rsid w:val="001B2DA1"/>
    <w:rsid w:val="001B3283"/>
    <w:rsid w:val="001B3288"/>
    <w:rsid w:val="001B354F"/>
    <w:rsid w:val="001B35CD"/>
    <w:rsid w:val="001B3787"/>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3CD"/>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647"/>
    <w:rsid w:val="001C0780"/>
    <w:rsid w:val="001C098D"/>
    <w:rsid w:val="001C0A47"/>
    <w:rsid w:val="001C0B48"/>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4B2"/>
    <w:rsid w:val="001C358B"/>
    <w:rsid w:val="001C364D"/>
    <w:rsid w:val="001C3764"/>
    <w:rsid w:val="001C381E"/>
    <w:rsid w:val="001C395C"/>
    <w:rsid w:val="001C3AC5"/>
    <w:rsid w:val="001C3BF0"/>
    <w:rsid w:val="001C3DED"/>
    <w:rsid w:val="001C403F"/>
    <w:rsid w:val="001C4064"/>
    <w:rsid w:val="001C43BD"/>
    <w:rsid w:val="001C4597"/>
    <w:rsid w:val="001C4ABB"/>
    <w:rsid w:val="001C4B19"/>
    <w:rsid w:val="001C4F71"/>
    <w:rsid w:val="001C51D6"/>
    <w:rsid w:val="001C5282"/>
    <w:rsid w:val="001C53DC"/>
    <w:rsid w:val="001C5467"/>
    <w:rsid w:val="001C5468"/>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98E"/>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E7FDD"/>
    <w:rsid w:val="001F010B"/>
    <w:rsid w:val="001F01FC"/>
    <w:rsid w:val="001F0224"/>
    <w:rsid w:val="001F0240"/>
    <w:rsid w:val="001F07D2"/>
    <w:rsid w:val="001F09FC"/>
    <w:rsid w:val="001F0A4C"/>
    <w:rsid w:val="001F0E75"/>
    <w:rsid w:val="001F12C8"/>
    <w:rsid w:val="001F1425"/>
    <w:rsid w:val="001F14A1"/>
    <w:rsid w:val="001F1AE0"/>
    <w:rsid w:val="001F21A7"/>
    <w:rsid w:val="001F23CF"/>
    <w:rsid w:val="001F251F"/>
    <w:rsid w:val="001F2742"/>
    <w:rsid w:val="001F28BB"/>
    <w:rsid w:val="001F29FA"/>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B1F"/>
    <w:rsid w:val="001F5C3E"/>
    <w:rsid w:val="001F61A3"/>
    <w:rsid w:val="001F61CF"/>
    <w:rsid w:val="001F642F"/>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33C"/>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6E3"/>
    <w:rsid w:val="00211CEC"/>
    <w:rsid w:val="00211F20"/>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E8"/>
    <w:rsid w:val="00226CFD"/>
    <w:rsid w:val="00226F36"/>
    <w:rsid w:val="00227BA0"/>
    <w:rsid w:val="00227D9B"/>
    <w:rsid w:val="002308D8"/>
    <w:rsid w:val="00230D90"/>
    <w:rsid w:val="0023129E"/>
    <w:rsid w:val="002312D9"/>
    <w:rsid w:val="00231378"/>
    <w:rsid w:val="00231A63"/>
    <w:rsid w:val="00231AD1"/>
    <w:rsid w:val="00231AE2"/>
    <w:rsid w:val="00231BE4"/>
    <w:rsid w:val="00231C1E"/>
    <w:rsid w:val="00231C66"/>
    <w:rsid w:val="00231CEB"/>
    <w:rsid w:val="00231D72"/>
    <w:rsid w:val="00231D79"/>
    <w:rsid w:val="0023213B"/>
    <w:rsid w:val="002324B0"/>
    <w:rsid w:val="0023265A"/>
    <w:rsid w:val="00232AAF"/>
    <w:rsid w:val="00232C4F"/>
    <w:rsid w:val="00232CC6"/>
    <w:rsid w:val="00232D9A"/>
    <w:rsid w:val="00232F8D"/>
    <w:rsid w:val="0023314C"/>
    <w:rsid w:val="0023314D"/>
    <w:rsid w:val="002331E4"/>
    <w:rsid w:val="00233257"/>
    <w:rsid w:val="00233488"/>
    <w:rsid w:val="00233492"/>
    <w:rsid w:val="00233526"/>
    <w:rsid w:val="002335E5"/>
    <w:rsid w:val="002336CE"/>
    <w:rsid w:val="002336E5"/>
    <w:rsid w:val="002336EC"/>
    <w:rsid w:val="00233766"/>
    <w:rsid w:val="00233B50"/>
    <w:rsid w:val="00233C47"/>
    <w:rsid w:val="00233D0F"/>
    <w:rsid w:val="0023410E"/>
    <w:rsid w:val="0023427F"/>
    <w:rsid w:val="00234478"/>
    <w:rsid w:val="0023458A"/>
    <w:rsid w:val="0023461D"/>
    <w:rsid w:val="00234702"/>
    <w:rsid w:val="00234B42"/>
    <w:rsid w:val="00234D9C"/>
    <w:rsid w:val="00234F1B"/>
    <w:rsid w:val="00234FBE"/>
    <w:rsid w:val="002351D8"/>
    <w:rsid w:val="0023549C"/>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81"/>
    <w:rsid w:val="00255D93"/>
    <w:rsid w:val="00255E19"/>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5E"/>
    <w:rsid w:val="00261E99"/>
    <w:rsid w:val="002620E5"/>
    <w:rsid w:val="00262202"/>
    <w:rsid w:val="0026240D"/>
    <w:rsid w:val="002624BD"/>
    <w:rsid w:val="0026265B"/>
    <w:rsid w:val="00262693"/>
    <w:rsid w:val="00262973"/>
    <w:rsid w:val="00262A86"/>
    <w:rsid w:val="00262ED0"/>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977"/>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141"/>
    <w:rsid w:val="00270491"/>
    <w:rsid w:val="002704F1"/>
    <w:rsid w:val="00270538"/>
    <w:rsid w:val="00270724"/>
    <w:rsid w:val="0027086D"/>
    <w:rsid w:val="00270C18"/>
    <w:rsid w:val="00270DA4"/>
    <w:rsid w:val="00270DAA"/>
    <w:rsid w:val="00270EFA"/>
    <w:rsid w:val="00270FDE"/>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590"/>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56E"/>
    <w:rsid w:val="002906DC"/>
    <w:rsid w:val="00290B90"/>
    <w:rsid w:val="00290D5E"/>
    <w:rsid w:val="0029112B"/>
    <w:rsid w:val="002916DC"/>
    <w:rsid w:val="00291848"/>
    <w:rsid w:val="0029184B"/>
    <w:rsid w:val="00291FD5"/>
    <w:rsid w:val="00292016"/>
    <w:rsid w:val="00292038"/>
    <w:rsid w:val="00292685"/>
    <w:rsid w:val="002926A8"/>
    <w:rsid w:val="00292841"/>
    <w:rsid w:val="00292A6B"/>
    <w:rsid w:val="00292A73"/>
    <w:rsid w:val="00292BEE"/>
    <w:rsid w:val="00292C6D"/>
    <w:rsid w:val="00292CFA"/>
    <w:rsid w:val="00292D55"/>
    <w:rsid w:val="00292E06"/>
    <w:rsid w:val="00292E12"/>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E20"/>
    <w:rsid w:val="00295E27"/>
    <w:rsid w:val="00295F0E"/>
    <w:rsid w:val="00296095"/>
    <w:rsid w:val="00296233"/>
    <w:rsid w:val="0029623A"/>
    <w:rsid w:val="002963F2"/>
    <w:rsid w:val="002965EA"/>
    <w:rsid w:val="002965F8"/>
    <w:rsid w:val="002967F3"/>
    <w:rsid w:val="002968BC"/>
    <w:rsid w:val="00296A41"/>
    <w:rsid w:val="00296CD1"/>
    <w:rsid w:val="00296E30"/>
    <w:rsid w:val="00296F66"/>
    <w:rsid w:val="00297100"/>
    <w:rsid w:val="0029725E"/>
    <w:rsid w:val="002974A3"/>
    <w:rsid w:val="002974E7"/>
    <w:rsid w:val="0029757C"/>
    <w:rsid w:val="0029783B"/>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4D5"/>
    <w:rsid w:val="002A69D7"/>
    <w:rsid w:val="002A6F4F"/>
    <w:rsid w:val="002A70E7"/>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92C"/>
    <w:rsid w:val="002B5D42"/>
    <w:rsid w:val="002B5DCF"/>
    <w:rsid w:val="002B5F34"/>
    <w:rsid w:val="002B5F85"/>
    <w:rsid w:val="002B63F0"/>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B8B"/>
    <w:rsid w:val="002C6D68"/>
    <w:rsid w:val="002C6EF1"/>
    <w:rsid w:val="002C75D0"/>
    <w:rsid w:val="002C7ACC"/>
    <w:rsid w:val="002D0530"/>
    <w:rsid w:val="002D0AA0"/>
    <w:rsid w:val="002D0AAB"/>
    <w:rsid w:val="002D0AD3"/>
    <w:rsid w:val="002D0DC3"/>
    <w:rsid w:val="002D11B1"/>
    <w:rsid w:val="002D11E1"/>
    <w:rsid w:val="002D1563"/>
    <w:rsid w:val="002D1F53"/>
    <w:rsid w:val="002D1FD8"/>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CFF"/>
    <w:rsid w:val="002E2F72"/>
    <w:rsid w:val="002E2FDC"/>
    <w:rsid w:val="002E30FF"/>
    <w:rsid w:val="002E323B"/>
    <w:rsid w:val="002E325B"/>
    <w:rsid w:val="002E345D"/>
    <w:rsid w:val="002E34AB"/>
    <w:rsid w:val="002E34E1"/>
    <w:rsid w:val="002E3842"/>
    <w:rsid w:val="002E3D53"/>
    <w:rsid w:val="002E3E73"/>
    <w:rsid w:val="002E42C8"/>
    <w:rsid w:val="002E4398"/>
    <w:rsid w:val="002E468F"/>
    <w:rsid w:val="002E4AB8"/>
    <w:rsid w:val="002E4E10"/>
    <w:rsid w:val="002E5453"/>
    <w:rsid w:val="002E57DB"/>
    <w:rsid w:val="002E57F0"/>
    <w:rsid w:val="002E58D1"/>
    <w:rsid w:val="002E5A3B"/>
    <w:rsid w:val="002E5E0B"/>
    <w:rsid w:val="002E5F34"/>
    <w:rsid w:val="002E5FF3"/>
    <w:rsid w:val="002E612D"/>
    <w:rsid w:val="002E64AC"/>
    <w:rsid w:val="002E64E2"/>
    <w:rsid w:val="002E65CD"/>
    <w:rsid w:val="002E68BD"/>
    <w:rsid w:val="002E6E4D"/>
    <w:rsid w:val="002E6E72"/>
    <w:rsid w:val="002E6FD2"/>
    <w:rsid w:val="002E7056"/>
    <w:rsid w:val="002E733D"/>
    <w:rsid w:val="002E79FA"/>
    <w:rsid w:val="002F0052"/>
    <w:rsid w:val="002F0222"/>
    <w:rsid w:val="002F049D"/>
    <w:rsid w:val="002F04FE"/>
    <w:rsid w:val="002F0C48"/>
    <w:rsid w:val="002F16E2"/>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BD8"/>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53A"/>
    <w:rsid w:val="003028AF"/>
    <w:rsid w:val="00302DD7"/>
    <w:rsid w:val="003034D5"/>
    <w:rsid w:val="003037C8"/>
    <w:rsid w:val="003037E8"/>
    <w:rsid w:val="00303FEB"/>
    <w:rsid w:val="0030419A"/>
    <w:rsid w:val="00304262"/>
    <w:rsid w:val="0030426D"/>
    <w:rsid w:val="003042EE"/>
    <w:rsid w:val="003044D6"/>
    <w:rsid w:val="003046A5"/>
    <w:rsid w:val="003048C8"/>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28"/>
    <w:rsid w:val="0031083D"/>
    <w:rsid w:val="00310CF1"/>
    <w:rsid w:val="00310D7E"/>
    <w:rsid w:val="00310E4E"/>
    <w:rsid w:val="00310EBF"/>
    <w:rsid w:val="00310FD6"/>
    <w:rsid w:val="00311121"/>
    <w:rsid w:val="003112CD"/>
    <w:rsid w:val="003112DF"/>
    <w:rsid w:val="00311400"/>
    <w:rsid w:val="0031141C"/>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2EF"/>
    <w:rsid w:val="0031648B"/>
    <w:rsid w:val="003166AE"/>
    <w:rsid w:val="00316723"/>
    <w:rsid w:val="003167CD"/>
    <w:rsid w:val="00316C05"/>
    <w:rsid w:val="00316DDE"/>
    <w:rsid w:val="00317021"/>
    <w:rsid w:val="0031716E"/>
    <w:rsid w:val="00317198"/>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43C"/>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7AC"/>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4DD"/>
    <w:rsid w:val="00337526"/>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1DE"/>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19"/>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34D6"/>
    <w:rsid w:val="00353542"/>
    <w:rsid w:val="003536B9"/>
    <w:rsid w:val="00353729"/>
    <w:rsid w:val="003539A0"/>
    <w:rsid w:val="00353C3E"/>
    <w:rsid w:val="00353CAD"/>
    <w:rsid w:val="00353DCC"/>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AF6"/>
    <w:rsid w:val="00357E24"/>
    <w:rsid w:val="00357EF2"/>
    <w:rsid w:val="00360155"/>
    <w:rsid w:val="00360272"/>
    <w:rsid w:val="00360332"/>
    <w:rsid w:val="00360477"/>
    <w:rsid w:val="003604BC"/>
    <w:rsid w:val="0036056D"/>
    <w:rsid w:val="0036062D"/>
    <w:rsid w:val="003606BF"/>
    <w:rsid w:val="0036097D"/>
    <w:rsid w:val="00360D5D"/>
    <w:rsid w:val="00361006"/>
    <w:rsid w:val="00361163"/>
    <w:rsid w:val="0036128C"/>
    <w:rsid w:val="00361C30"/>
    <w:rsid w:val="003620FE"/>
    <w:rsid w:val="0036213C"/>
    <w:rsid w:val="00362A7E"/>
    <w:rsid w:val="00362D3F"/>
    <w:rsid w:val="00362E6D"/>
    <w:rsid w:val="00363216"/>
    <w:rsid w:val="003632D5"/>
    <w:rsid w:val="0036355F"/>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67E27"/>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27"/>
    <w:rsid w:val="0037480A"/>
    <w:rsid w:val="00374834"/>
    <w:rsid w:val="00374856"/>
    <w:rsid w:val="003749BD"/>
    <w:rsid w:val="00374C25"/>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00A"/>
    <w:rsid w:val="00383805"/>
    <w:rsid w:val="00383C01"/>
    <w:rsid w:val="00383CFF"/>
    <w:rsid w:val="003840EF"/>
    <w:rsid w:val="003842AA"/>
    <w:rsid w:val="003842D0"/>
    <w:rsid w:val="003843E2"/>
    <w:rsid w:val="00384687"/>
    <w:rsid w:val="00384AA0"/>
    <w:rsid w:val="00384CA8"/>
    <w:rsid w:val="00384EBB"/>
    <w:rsid w:val="00385031"/>
    <w:rsid w:val="00385102"/>
    <w:rsid w:val="00385259"/>
    <w:rsid w:val="00385418"/>
    <w:rsid w:val="00385437"/>
    <w:rsid w:val="00385741"/>
    <w:rsid w:val="0038582F"/>
    <w:rsid w:val="00385CFF"/>
    <w:rsid w:val="00385D9A"/>
    <w:rsid w:val="00385EBA"/>
    <w:rsid w:val="003868FF"/>
    <w:rsid w:val="00386B47"/>
    <w:rsid w:val="00386DBD"/>
    <w:rsid w:val="00386F57"/>
    <w:rsid w:val="0038718C"/>
    <w:rsid w:val="00387224"/>
    <w:rsid w:val="003874D3"/>
    <w:rsid w:val="003875CF"/>
    <w:rsid w:val="003877FA"/>
    <w:rsid w:val="003878DD"/>
    <w:rsid w:val="00387A3F"/>
    <w:rsid w:val="00387AAB"/>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3E"/>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C5"/>
    <w:rsid w:val="003976D9"/>
    <w:rsid w:val="00397975"/>
    <w:rsid w:val="003A02D7"/>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0D4"/>
    <w:rsid w:val="003A2543"/>
    <w:rsid w:val="003A259D"/>
    <w:rsid w:val="003A2811"/>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2D1"/>
    <w:rsid w:val="003B0421"/>
    <w:rsid w:val="003B0632"/>
    <w:rsid w:val="003B08B0"/>
    <w:rsid w:val="003B0926"/>
    <w:rsid w:val="003B0D16"/>
    <w:rsid w:val="003B11CE"/>
    <w:rsid w:val="003B13C3"/>
    <w:rsid w:val="003B15B2"/>
    <w:rsid w:val="003B15EB"/>
    <w:rsid w:val="003B1625"/>
    <w:rsid w:val="003B17EA"/>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3F57"/>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6F92"/>
    <w:rsid w:val="003D7049"/>
    <w:rsid w:val="003D74CC"/>
    <w:rsid w:val="003D7522"/>
    <w:rsid w:val="003E0199"/>
    <w:rsid w:val="003E0358"/>
    <w:rsid w:val="003E0374"/>
    <w:rsid w:val="003E0ADC"/>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6D0"/>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5EF"/>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83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7A3"/>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5F1"/>
    <w:rsid w:val="004426B9"/>
    <w:rsid w:val="00442B24"/>
    <w:rsid w:val="00442EF7"/>
    <w:rsid w:val="00442F91"/>
    <w:rsid w:val="004432BF"/>
    <w:rsid w:val="00443614"/>
    <w:rsid w:val="00443E2D"/>
    <w:rsid w:val="00443F31"/>
    <w:rsid w:val="00444295"/>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9A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47"/>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5D80"/>
    <w:rsid w:val="00476063"/>
    <w:rsid w:val="00476248"/>
    <w:rsid w:val="0047632D"/>
    <w:rsid w:val="00476486"/>
    <w:rsid w:val="0047663A"/>
    <w:rsid w:val="0047665E"/>
    <w:rsid w:val="00476851"/>
    <w:rsid w:val="00476AB4"/>
    <w:rsid w:val="00476BD6"/>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0F3"/>
    <w:rsid w:val="00493207"/>
    <w:rsid w:val="00493377"/>
    <w:rsid w:val="0049359B"/>
    <w:rsid w:val="00493614"/>
    <w:rsid w:val="004937BF"/>
    <w:rsid w:val="004939B7"/>
    <w:rsid w:val="00493AFB"/>
    <w:rsid w:val="00493CF3"/>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095"/>
    <w:rsid w:val="004A1147"/>
    <w:rsid w:val="004A155D"/>
    <w:rsid w:val="004A1924"/>
    <w:rsid w:val="004A1DF6"/>
    <w:rsid w:val="004A1F4F"/>
    <w:rsid w:val="004A26A7"/>
    <w:rsid w:val="004A29C9"/>
    <w:rsid w:val="004A2A0E"/>
    <w:rsid w:val="004A2BBC"/>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D35"/>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57"/>
    <w:rsid w:val="004C4D78"/>
    <w:rsid w:val="004C5236"/>
    <w:rsid w:val="004C54B6"/>
    <w:rsid w:val="004C5536"/>
    <w:rsid w:val="004C56C7"/>
    <w:rsid w:val="004C5AB2"/>
    <w:rsid w:val="004C5AE1"/>
    <w:rsid w:val="004C5C93"/>
    <w:rsid w:val="004C6064"/>
    <w:rsid w:val="004C60D1"/>
    <w:rsid w:val="004C61E5"/>
    <w:rsid w:val="004C6229"/>
    <w:rsid w:val="004C654C"/>
    <w:rsid w:val="004C658C"/>
    <w:rsid w:val="004C6708"/>
    <w:rsid w:val="004C68E4"/>
    <w:rsid w:val="004C6983"/>
    <w:rsid w:val="004C6BED"/>
    <w:rsid w:val="004C6E38"/>
    <w:rsid w:val="004C6E43"/>
    <w:rsid w:val="004C6E73"/>
    <w:rsid w:val="004C6F9D"/>
    <w:rsid w:val="004C73A5"/>
    <w:rsid w:val="004C76A3"/>
    <w:rsid w:val="004C7891"/>
    <w:rsid w:val="004C7901"/>
    <w:rsid w:val="004C797C"/>
    <w:rsid w:val="004C7EA7"/>
    <w:rsid w:val="004D0002"/>
    <w:rsid w:val="004D0245"/>
    <w:rsid w:val="004D02E2"/>
    <w:rsid w:val="004D057E"/>
    <w:rsid w:val="004D0859"/>
    <w:rsid w:val="004D0961"/>
    <w:rsid w:val="004D0963"/>
    <w:rsid w:val="004D0A19"/>
    <w:rsid w:val="004D0FAD"/>
    <w:rsid w:val="004D0FFA"/>
    <w:rsid w:val="004D1275"/>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2B1"/>
    <w:rsid w:val="004D5552"/>
    <w:rsid w:val="004D5803"/>
    <w:rsid w:val="004D58F7"/>
    <w:rsid w:val="004D5EDD"/>
    <w:rsid w:val="004D6111"/>
    <w:rsid w:val="004D66C1"/>
    <w:rsid w:val="004D68B6"/>
    <w:rsid w:val="004D6B0D"/>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885"/>
    <w:rsid w:val="004E3A0E"/>
    <w:rsid w:val="004E3ACB"/>
    <w:rsid w:val="004E3C4D"/>
    <w:rsid w:val="004E41FA"/>
    <w:rsid w:val="004E4883"/>
    <w:rsid w:val="004E497B"/>
    <w:rsid w:val="004E4B0E"/>
    <w:rsid w:val="004E4B8A"/>
    <w:rsid w:val="004E4BBC"/>
    <w:rsid w:val="004E4CC3"/>
    <w:rsid w:val="004E4FDD"/>
    <w:rsid w:val="004E51C1"/>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008"/>
    <w:rsid w:val="004F171E"/>
    <w:rsid w:val="004F1933"/>
    <w:rsid w:val="004F1C18"/>
    <w:rsid w:val="004F2190"/>
    <w:rsid w:val="004F223E"/>
    <w:rsid w:val="004F24CF"/>
    <w:rsid w:val="004F27CF"/>
    <w:rsid w:val="004F29F7"/>
    <w:rsid w:val="004F2C4C"/>
    <w:rsid w:val="004F322E"/>
    <w:rsid w:val="004F3304"/>
    <w:rsid w:val="004F336F"/>
    <w:rsid w:val="004F35C3"/>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765"/>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78F"/>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29"/>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6E"/>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D6C"/>
    <w:rsid w:val="00554EF3"/>
    <w:rsid w:val="00554F74"/>
    <w:rsid w:val="005550CA"/>
    <w:rsid w:val="005550E8"/>
    <w:rsid w:val="0055511E"/>
    <w:rsid w:val="00555144"/>
    <w:rsid w:val="00555371"/>
    <w:rsid w:val="005553E8"/>
    <w:rsid w:val="0055544E"/>
    <w:rsid w:val="00555FCC"/>
    <w:rsid w:val="00556256"/>
    <w:rsid w:val="005563B1"/>
    <w:rsid w:val="005564EA"/>
    <w:rsid w:val="00556610"/>
    <w:rsid w:val="0055692C"/>
    <w:rsid w:val="005569A9"/>
    <w:rsid w:val="00556A82"/>
    <w:rsid w:val="00557325"/>
    <w:rsid w:val="005576CD"/>
    <w:rsid w:val="005577A5"/>
    <w:rsid w:val="0055786F"/>
    <w:rsid w:val="005579A5"/>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7"/>
    <w:rsid w:val="00561289"/>
    <w:rsid w:val="00561605"/>
    <w:rsid w:val="00561696"/>
    <w:rsid w:val="005619D3"/>
    <w:rsid w:val="00561A70"/>
    <w:rsid w:val="00561A9D"/>
    <w:rsid w:val="00561AD5"/>
    <w:rsid w:val="00561D96"/>
    <w:rsid w:val="00561F51"/>
    <w:rsid w:val="005621D6"/>
    <w:rsid w:val="005621DA"/>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39B"/>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47"/>
    <w:rsid w:val="00575AE5"/>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DC7"/>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FE"/>
    <w:rsid w:val="00595430"/>
    <w:rsid w:val="00595640"/>
    <w:rsid w:val="00595755"/>
    <w:rsid w:val="005958AD"/>
    <w:rsid w:val="00595BAD"/>
    <w:rsid w:val="00595C5E"/>
    <w:rsid w:val="005961BD"/>
    <w:rsid w:val="005963C8"/>
    <w:rsid w:val="0059666C"/>
    <w:rsid w:val="005967D1"/>
    <w:rsid w:val="00596873"/>
    <w:rsid w:val="00596DA9"/>
    <w:rsid w:val="00596E03"/>
    <w:rsid w:val="0059705E"/>
    <w:rsid w:val="0059715D"/>
    <w:rsid w:val="005972B6"/>
    <w:rsid w:val="005978C5"/>
    <w:rsid w:val="00597B5B"/>
    <w:rsid w:val="005A012A"/>
    <w:rsid w:val="005A0222"/>
    <w:rsid w:val="005A024B"/>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C09"/>
    <w:rsid w:val="005A4D54"/>
    <w:rsid w:val="005A5302"/>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375"/>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864"/>
    <w:rsid w:val="005D397C"/>
    <w:rsid w:val="005D39DA"/>
    <w:rsid w:val="005D39F5"/>
    <w:rsid w:val="005D3F49"/>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5EEC"/>
    <w:rsid w:val="005D62A3"/>
    <w:rsid w:val="005D6373"/>
    <w:rsid w:val="005D664A"/>
    <w:rsid w:val="005D672D"/>
    <w:rsid w:val="005D68AB"/>
    <w:rsid w:val="005D6C0B"/>
    <w:rsid w:val="005D6EDA"/>
    <w:rsid w:val="005D704B"/>
    <w:rsid w:val="005D70D2"/>
    <w:rsid w:val="005D71BF"/>
    <w:rsid w:val="005D74E6"/>
    <w:rsid w:val="005D75F6"/>
    <w:rsid w:val="005D765B"/>
    <w:rsid w:val="005D76D9"/>
    <w:rsid w:val="005D7700"/>
    <w:rsid w:val="005D7A19"/>
    <w:rsid w:val="005D7C00"/>
    <w:rsid w:val="005E0078"/>
    <w:rsid w:val="005E0433"/>
    <w:rsid w:val="005E090A"/>
    <w:rsid w:val="005E0964"/>
    <w:rsid w:val="005E0B62"/>
    <w:rsid w:val="005E0DB8"/>
    <w:rsid w:val="005E1346"/>
    <w:rsid w:val="005E13CB"/>
    <w:rsid w:val="005E1670"/>
    <w:rsid w:val="005E1769"/>
    <w:rsid w:val="005E1850"/>
    <w:rsid w:val="005E1888"/>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8C"/>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7AD"/>
    <w:rsid w:val="005F0DE3"/>
    <w:rsid w:val="005F0ED2"/>
    <w:rsid w:val="005F0F67"/>
    <w:rsid w:val="005F1003"/>
    <w:rsid w:val="005F10EA"/>
    <w:rsid w:val="005F13AA"/>
    <w:rsid w:val="005F14C2"/>
    <w:rsid w:val="005F1567"/>
    <w:rsid w:val="005F18ED"/>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628"/>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3C4"/>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4EF"/>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ADB"/>
    <w:rsid w:val="00627B4F"/>
    <w:rsid w:val="00627F2E"/>
    <w:rsid w:val="00630060"/>
    <w:rsid w:val="00630072"/>
    <w:rsid w:val="00630371"/>
    <w:rsid w:val="006304BA"/>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B2"/>
    <w:rsid w:val="006405D5"/>
    <w:rsid w:val="006408B8"/>
    <w:rsid w:val="00641064"/>
    <w:rsid w:val="006416F4"/>
    <w:rsid w:val="00641D60"/>
    <w:rsid w:val="00641E93"/>
    <w:rsid w:val="00641EA9"/>
    <w:rsid w:val="00641ED1"/>
    <w:rsid w:val="0064257E"/>
    <w:rsid w:val="00642760"/>
    <w:rsid w:val="0064276F"/>
    <w:rsid w:val="00642A5B"/>
    <w:rsid w:val="00642E2E"/>
    <w:rsid w:val="00642E6E"/>
    <w:rsid w:val="006431E8"/>
    <w:rsid w:val="00643634"/>
    <w:rsid w:val="00643EF3"/>
    <w:rsid w:val="0064403A"/>
    <w:rsid w:val="0064408E"/>
    <w:rsid w:val="006443BD"/>
    <w:rsid w:val="006445BC"/>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53E"/>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96E"/>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67D0"/>
    <w:rsid w:val="00667524"/>
    <w:rsid w:val="006675B6"/>
    <w:rsid w:val="00667661"/>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34D"/>
    <w:rsid w:val="0067347C"/>
    <w:rsid w:val="006734A3"/>
    <w:rsid w:val="006735F4"/>
    <w:rsid w:val="006737EE"/>
    <w:rsid w:val="00673B77"/>
    <w:rsid w:val="00673FAA"/>
    <w:rsid w:val="0067409A"/>
    <w:rsid w:val="006743A3"/>
    <w:rsid w:val="006744D3"/>
    <w:rsid w:val="00674607"/>
    <w:rsid w:val="0067467E"/>
    <w:rsid w:val="00674700"/>
    <w:rsid w:val="00674760"/>
    <w:rsid w:val="00674929"/>
    <w:rsid w:val="006749AA"/>
    <w:rsid w:val="00674A45"/>
    <w:rsid w:val="00674C28"/>
    <w:rsid w:val="00674D4D"/>
    <w:rsid w:val="00674F7A"/>
    <w:rsid w:val="00675018"/>
    <w:rsid w:val="0067510C"/>
    <w:rsid w:val="0067555B"/>
    <w:rsid w:val="0067568E"/>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209"/>
    <w:rsid w:val="00686422"/>
    <w:rsid w:val="006865A5"/>
    <w:rsid w:val="00686626"/>
    <w:rsid w:val="0068673F"/>
    <w:rsid w:val="00686C2B"/>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441"/>
    <w:rsid w:val="006A655B"/>
    <w:rsid w:val="006A676A"/>
    <w:rsid w:val="006A676B"/>
    <w:rsid w:val="006A6D0F"/>
    <w:rsid w:val="006A6FC3"/>
    <w:rsid w:val="006A7449"/>
    <w:rsid w:val="006A75E3"/>
    <w:rsid w:val="006A761B"/>
    <w:rsid w:val="006A79F6"/>
    <w:rsid w:val="006A7B36"/>
    <w:rsid w:val="006A7C36"/>
    <w:rsid w:val="006B036C"/>
    <w:rsid w:val="006B04FD"/>
    <w:rsid w:val="006B0508"/>
    <w:rsid w:val="006B09C0"/>
    <w:rsid w:val="006B0A44"/>
    <w:rsid w:val="006B0A6D"/>
    <w:rsid w:val="006B0B78"/>
    <w:rsid w:val="006B0C12"/>
    <w:rsid w:val="006B0C53"/>
    <w:rsid w:val="006B0D33"/>
    <w:rsid w:val="006B0F91"/>
    <w:rsid w:val="006B1552"/>
    <w:rsid w:val="006B17C0"/>
    <w:rsid w:val="006B1B56"/>
    <w:rsid w:val="006B1BF6"/>
    <w:rsid w:val="006B1EF3"/>
    <w:rsid w:val="006B1F08"/>
    <w:rsid w:val="006B2203"/>
    <w:rsid w:val="006B26B9"/>
    <w:rsid w:val="006B26C3"/>
    <w:rsid w:val="006B2BDA"/>
    <w:rsid w:val="006B2C91"/>
    <w:rsid w:val="006B2EEA"/>
    <w:rsid w:val="006B327C"/>
    <w:rsid w:val="006B356D"/>
    <w:rsid w:val="006B37D2"/>
    <w:rsid w:val="006B386C"/>
    <w:rsid w:val="006B38DD"/>
    <w:rsid w:val="006B41AC"/>
    <w:rsid w:val="006B4341"/>
    <w:rsid w:val="006B4653"/>
    <w:rsid w:val="006B4699"/>
    <w:rsid w:val="006B4A8E"/>
    <w:rsid w:val="006B4AFF"/>
    <w:rsid w:val="006B516F"/>
    <w:rsid w:val="006B5341"/>
    <w:rsid w:val="006B5538"/>
    <w:rsid w:val="006B5BBF"/>
    <w:rsid w:val="006B62F8"/>
    <w:rsid w:val="006B63C1"/>
    <w:rsid w:val="006B64F8"/>
    <w:rsid w:val="006B676A"/>
    <w:rsid w:val="006B6841"/>
    <w:rsid w:val="006B6BFF"/>
    <w:rsid w:val="006B714B"/>
    <w:rsid w:val="006B719F"/>
    <w:rsid w:val="006B7260"/>
    <w:rsid w:val="006B73D5"/>
    <w:rsid w:val="006B7491"/>
    <w:rsid w:val="006B775B"/>
    <w:rsid w:val="006B7A90"/>
    <w:rsid w:val="006B7BD4"/>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CEE"/>
    <w:rsid w:val="006C1FE1"/>
    <w:rsid w:val="006C1FF4"/>
    <w:rsid w:val="006C2260"/>
    <w:rsid w:val="006C242A"/>
    <w:rsid w:val="006C2585"/>
    <w:rsid w:val="006C25C0"/>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C2C"/>
    <w:rsid w:val="006D4D02"/>
    <w:rsid w:val="006D4E1F"/>
    <w:rsid w:val="006D5431"/>
    <w:rsid w:val="006D5702"/>
    <w:rsid w:val="006D5AE9"/>
    <w:rsid w:val="006D5B0B"/>
    <w:rsid w:val="006D5F61"/>
    <w:rsid w:val="006D6463"/>
    <w:rsid w:val="006D651C"/>
    <w:rsid w:val="006D6525"/>
    <w:rsid w:val="006D6632"/>
    <w:rsid w:val="006D6AD3"/>
    <w:rsid w:val="006D7567"/>
    <w:rsid w:val="006D768D"/>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5FB1"/>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DA9"/>
    <w:rsid w:val="006F2EE4"/>
    <w:rsid w:val="006F3147"/>
    <w:rsid w:val="006F31A0"/>
    <w:rsid w:val="006F3862"/>
    <w:rsid w:val="006F3928"/>
    <w:rsid w:val="006F396F"/>
    <w:rsid w:val="006F39E4"/>
    <w:rsid w:val="006F3A0F"/>
    <w:rsid w:val="006F3A77"/>
    <w:rsid w:val="006F3AF1"/>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A20"/>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CE8"/>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8C"/>
    <w:rsid w:val="007131E3"/>
    <w:rsid w:val="007131FE"/>
    <w:rsid w:val="007132DA"/>
    <w:rsid w:val="00713410"/>
    <w:rsid w:val="0071370D"/>
    <w:rsid w:val="00713B0A"/>
    <w:rsid w:val="00713B2F"/>
    <w:rsid w:val="0071408E"/>
    <w:rsid w:val="007141F1"/>
    <w:rsid w:val="00714425"/>
    <w:rsid w:val="00714540"/>
    <w:rsid w:val="0071468F"/>
    <w:rsid w:val="00714818"/>
    <w:rsid w:val="00714AE6"/>
    <w:rsid w:val="00714B85"/>
    <w:rsid w:val="00714DB3"/>
    <w:rsid w:val="00714EEA"/>
    <w:rsid w:val="00714FDB"/>
    <w:rsid w:val="007155BE"/>
    <w:rsid w:val="00715FAD"/>
    <w:rsid w:val="0071603E"/>
    <w:rsid w:val="0071605E"/>
    <w:rsid w:val="007167CD"/>
    <w:rsid w:val="007167F1"/>
    <w:rsid w:val="00716B06"/>
    <w:rsid w:val="00716C76"/>
    <w:rsid w:val="00716D13"/>
    <w:rsid w:val="00717035"/>
    <w:rsid w:val="0071714E"/>
    <w:rsid w:val="0071726B"/>
    <w:rsid w:val="0071769D"/>
    <w:rsid w:val="007176EE"/>
    <w:rsid w:val="007177B7"/>
    <w:rsid w:val="00717837"/>
    <w:rsid w:val="00717A67"/>
    <w:rsid w:val="00717BC1"/>
    <w:rsid w:val="00717BCF"/>
    <w:rsid w:val="00717C5A"/>
    <w:rsid w:val="00717CDB"/>
    <w:rsid w:val="00717FE8"/>
    <w:rsid w:val="0072002E"/>
    <w:rsid w:val="00720128"/>
    <w:rsid w:val="007202A3"/>
    <w:rsid w:val="0072064A"/>
    <w:rsid w:val="007208AB"/>
    <w:rsid w:val="00720A79"/>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409"/>
    <w:rsid w:val="0072758B"/>
    <w:rsid w:val="0072777C"/>
    <w:rsid w:val="00727B3E"/>
    <w:rsid w:val="00727BCF"/>
    <w:rsid w:val="00727DC1"/>
    <w:rsid w:val="00730169"/>
    <w:rsid w:val="007304A5"/>
    <w:rsid w:val="00730C55"/>
    <w:rsid w:val="00731125"/>
    <w:rsid w:val="007311D3"/>
    <w:rsid w:val="007312C3"/>
    <w:rsid w:val="007314B1"/>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B2"/>
    <w:rsid w:val="00734209"/>
    <w:rsid w:val="007342B0"/>
    <w:rsid w:val="007342C7"/>
    <w:rsid w:val="007344A4"/>
    <w:rsid w:val="00734818"/>
    <w:rsid w:val="007349CA"/>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9E6"/>
    <w:rsid w:val="00764A39"/>
    <w:rsid w:val="00764A54"/>
    <w:rsid w:val="00764AC6"/>
    <w:rsid w:val="00764B82"/>
    <w:rsid w:val="00764F95"/>
    <w:rsid w:val="00764F9E"/>
    <w:rsid w:val="0076534E"/>
    <w:rsid w:val="0076550A"/>
    <w:rsid w:val="0076570F"/>
    <w:rsid w:val="007657C3"/>
    <w:rsid w:val="00765C3D"/>
    <w:rsid w:val="00765F11"/>
    <w:rsid w:val="007660B7"/>
    <w:rsid w:val="0076640E"/>
    <w:rsid w:val="0076667E"/>
    <w:rsid w:val="007668BA"/>
    <w:rsid w:val="00766FB5"/>
    <w:rsid w:val="0076775E"/>
    <w:rsid w:val="00767830"/>
    <w:rsid w:val="007679BA"/>
    <w:rsid w:val="00767B5C"/>
    <w:rsid w:val="00767D8E"/>
    <w:rsid w:val="00767DD0"/>
    <w:rsid w:val="00770189"/>
    <w:rsid w:val="00770285"/>
    <w:rsid w:val="00770400"/>
    <w:rsid w:val="00770634"/>
    <w:rsid w:val="007708FE"/>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16"/>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4F91"/>
    <w:rsid w:val="0077537E"/>
    <w:rsid w:val="007753A4"/>
    <w:rsid w:val="007759DB"/>
    <w:rsid w:val="00775A01"/>
    <w:rsid w:val="0077602B"/>
    <w:rsid w:val="0077636F"/>
    <w:rsid w:val="007765BF"/>
    <w:rsid w:val="00776B4A"/>
    <w:rsid w:val="00776C83"/>
    <w:rsid w:val="00776ED8"/>
    <w:rsid w:val="00777247"/>
    <w:rsid w:val="007772D7"/>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032"/>
    <w:rsid w:val="00791F20"/>
    <w:rsid w:val="007920E7"/>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A46"/>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B0C"/>
    <w:rsid w:val="00796E89"/>
    <w:rsid w:val="00796F76"/>
    <w:rsid w:val="00797005"/>
    <w:rsid w:val="0079730A"/>
    <w:rsid w:val="00797597"/>
    <w:rsid w:val="00797AC9"/>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31"/>
    <w:rsid w:val="007A169F"/>
    <w:rsid w:val="007A1821"/>
    <w:rsid w:val="007A1A14"/>
    <w:rsid w:val="007A1A72"/>
    <w:rsid w:val="007A1B06"/>
    <w:rsid w:val="007A1D5C"/>
    <w:rsid w:val="007A1FFA"/>
    <w:rsid w:val="007A22CE"/>
    <w:rsid w:val="007A2377"/>
    <w:rsid w:val="007A2713"/>
    <w:rsid w:val="007A2B55"/>
    <w:rsid w:val="007A2CDB"/>
    <w:rsid w:val="007A2E22"/>
    <w:rsid w:val="007A2EC8"/>
    <w:rsid w:val="007A2F72"/>
    <w:rsid w:val="007A3197"/>
    <w:rsid w:val="007A34A0"/>
    <w:rsid w:val="007A34A3"/>
    <w:rsid w:val="007A3521"/>
    <w:rsid w:val="007A359A"/>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41E"/>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5FC"/>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DAA"/>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5E"/>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10A7"/>
    <w:rsid w:val="008011B8"/>
    <w:rsid w:val="0080141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432"/>
    <w:rsid w:val="0080496D"/>
    <w:rsid w:val="00804A0B"/>
    <w:rsid w:val="00804CE3"/>
    <w:rsid w:val="00804D75"/>
    <w:rsid w:val="0080509C"/>
    <w:rsid w:val="008051EF"/>
    <w:rsid w:val="008053A8"/>
    <w:rsid w:val="0080552E"/>
    <w:rsid w:val="008056E0"/>
    <w:rsid w:val="00805B76"/>
    <w:rsid w:val="00805C95"/>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AE"/>
    <w:rsid w:val="008109ED"/>
    <w:rsid w:val="00810DA4"/>
    <w:rsid w:val="00810FA3"/>
    <w:rsid w:val="00811F8F"/>
    <w:rsid w:val="008123CF"/>
    <w:rsid w:val="00812AF8"/>
    <w:rsid w:val="00812B3A"/>
    <w:rsid w:val="0081314C"/>
    <w:rsid w:val="0081336E"/>
    <w:rsid w:val="00813427"/>
    <w:rsid w:val="0081343B"/>
    <w:rsid w:val="00813781"/>
    <w:rsid w:val="00813793"/>
    <w:rsid w:val="0081384A"/>
    <w:rsid w:val="008138F8"/>
    <w:rsid w:val="00813D86"/>
    <w:rsid w:val="00813EBD"/>
    <w:rsid w:val="008143FD"/>
    <w:rsid w:val="00814443"/>
    <w:rsid w:val="008146E2"/>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50"/>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6FD"/>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AC1"/>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4A"/>
    <w:rsid w:val="008463D0"/>
    <w:rsid w:val="008465D4"/>
    <w:rsid w:val="0084677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427"/>
    <w:rsid w:val="008515B3"/>
    <w:rsid w:val="008515EC"/>
    <w:rsid w:val="00851824"/>
    <w:rsid w:val="00852118"/>
    <w:rsid w:val="008525CC"/>
    <w:rsid w:val="0085268F"/>
    <w:rsid w:val="00852722"/>
    <w:rsid w:val="00852758"/>
    <w:rsid w:val="0085275E"/>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81F"/>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00"/>
    <w:rsid w:val="00863688"/>
    <w:rsid w:val="008636B9"/>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843"/>
    <w:rsid w:val="0086595D"/>
    <w:rsid w:val="008663DB"/>
    <w:rsid w:val="008667AB"/>
    <w:rsid w:val="008667DD"/>
    <w:rsid w:val="008669B0"/>
    <w:rsid w:val="00866A14"/>
    <w:rsid w:val="00866EA5"/>
    <w:rsid w:val="00867984"/>
    <w:rsid w:val="00867C69"/>
    <w:rsid w:val="00867CC5"/>
    <w:rsid w:val="00867E0C"/>
    <w:rsid w:val="00870358"/>
    <w:rsid w:val="0087039E"/>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571F"/>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96"/>
    <w:rsid w:val="00881049"/>
    <w:rsid w:val="008811F4"/>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AE"/>
    <w:rsid w:val="00886CFC"/>
    <w:rsid w:val="00886F21"/>
    <w:rsid w:val="00887576"/>
    <w:rsid w:val="00887837"/>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D38"/>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7E6"/>
    <w:rsid w:val="008A583F"/>
    <w:rsid w:val="008A58E3"/>
    <w:rsid w:val="008A592B"/>
    <w:rsid w:val="008A5B38"/>
    <w:rsid w:val="008A6108"/>
    <w:rsid w:val="008A6230"/>
    <w:rsid w:val="008A63CE"/>
    <w:rsid w:val="008A6691"/>
    <w:rsid w:val="008A669A"/>
    <w:rsid w:val="008A6820"/>
    <w:rsid w:val="008A6F5A"/>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2BB"/>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5E7C"/>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344"/>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B41"/>
    <w:rsid w:val="008C6F36"/>
    <w:rsid w:val="008C7193"/>
    <w:rsid w:val="008C7204"/>
    <w:rsid w:val="008C7380"/>
    <w:rsid w:val="008C7461"/>
    <w:rsid w:val="008C782C"/>
    <w:rsid w:val="008C7903"/>
    <w:rsid w:val="008C7A35"/>
    <w:rsid w:val="008C7A36"/>
    <w:rsid w:val="008C7ADE"/>
    <w:rsid w:val="008C7B12"/>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3FA3"/>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CBD"/>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60D"/>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C22"/>
    <w:rsid w:val="008F3DF5"/>
    <w:rsid w:val="008F3DFB"/>
    <w:rsid w:val="008F3EE0"/>
    <w:rsid w:val="008F3F9F"/>
    <w:rsid w:val="008F40B9"/>
    <w:rsid w:val="008F40CE"/>
    <w:rsid w:val="008F4264"/>
    <w:rsid w:val="008F42B5"/>
    <w:rsid w:val="008F4368"/>
    <w:rsid w:val="008F446F"/>
    <w:rsid w:val="008F456B"/>
    <w:rsid w:val="008F47C3"/>
    <w:rsid w:val="008F49B7"/>
    <w:rsid w:val="008F4AFF"/>
    <w:rsid w:val="008F4D1D"/>
    <w:rsid w:val="008F4D4B"/>
    <w:rsid w:val="008F4DF6"/>
    <w:rsid w:val="008F5558"/>
    <w:rsid w:val="008F561B"/>
    <w:rsid w:val="008F5A5C"/>
    <w:rsid w:val="008F5C07"/>
    <w:rsid w:val="008F5D28"/>
    <w:rsid w:val="008F5D65"/>
    <w:rsid w:val="008F5EE9"/>
    <w:rsid w:val="008F6045"/>
    <w:rsid w:val="008F60EC"/>
    <w:rsid w:val="008F618B"/>
    <w:rsid w:val="008F62E9"/>
    <w:rsid w:val="008F6400"/>
    <w:rsid w:val="008F640B"/>
    <w:rsid w:val="008F6446"/>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EF9"/>
    <w:rsid w:val="00912F78"/>
    <w:rsid w:val="009135D8"/>
    <w:rsid w:val="009137AC"/>
    <w:rsid w:val="00913B82"/>
    <w:rsid w:val="00913BE4"/>
    <w:rsid w:val="00913D0F"/>
    <w:rsid w:val="00913E64"/>
    <w:rsid w:val="00914232"/>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9FF"/>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6DBC"/>
    <w:rsid w:val="00937087"/>
    <w:rsid w:val="00937249"/>
    <w:rsid w:val="009373FC"/>
    <w:rsid w:val="00937506"/>
    <w:rsid w:val="009375E1"/>
    <w:rsid w:val="00937699"/>
    <w:rsid w:val="0093799F"/>
    <w:rsid w:val="009379BD"/>
    <w:rsid w:val="009379DA"/>
    <w:rsid w:val="0094056A"/>
    <w:rsid w:val="0094068A"/>
    <w:rsid w:val="0094098F"/>
    <w:rsid w:val="00940ACB"/>
    <w:rsid w:val="00940E70"/>
    <w:rsid w:val="00941287"/>
    <w:rsid w:val="009412B2"/>
    <w:rsid w:val="00941331"/>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52B"/>
    <w:rsid w:val="00945B25"/>
    <w:rsid w:val="00945CA0"/>
    <w:rsid w:val="00945DE7"/>
    <w:rsid w:val="00945F2C"/>
    <w:rsid w:val="0094614B"/>
    <w:rsid w:val="009461DD"/>
    <w:rsid w:val="009462D6"/>
    <w:rsid w:val="00946632"/>
    <w:rsid w:val="00946BED"/>
    <w:rsid w:val="0094704D"/>
    <w:rsid w:val="0094718E"/>
    <w:rsid w:val="009477F0"/>
    <w:rsid w:val="00947F1D"/>
    <w:rsid w:val="00947F4F"/>
    <w:rsid w:val="00950031"/>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509"/>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41B"/>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364"/>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67FC3"/>
    <w:rsid w:val="009701E4"/>
    <w:rsid w:val="009703C6"/>
    <w:rsid w:val="00970560"/>
    <w:rsid w:val="00970598"/>
    <w:rsid w:val="00970660"/>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352"/>
    <w:rsid w:val="0098060B"/>
    <w:rsid w:val="009806E9"/>
    <w:rsid w:val="0098097E"/>
    <w:rsid w:val="00980ACF"/>
    <w:rsid w:val="00980BA4"/>
    <w:rsid w:val="00980E75"/>
    <w:rsid w:val="0098107F"/>
    <w:rsid w:val="009811B1"/>
    <w:rsid w:val="00981273"/>
    <w:rsid w:val="0098163A"/>
    <w:rsid w:val="009818B9"/>
    <w:rsid w:val="00981CA2"/>
    <w:rsid w:val="0098205B"/>
    <w:rsid w:val="00982137"/>
    <w:rsid w:val="009828BC"/>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14"/>
    <w:rsid w:val="00986F46"/>
    <w:rsid w:val="0098707D"/>
    <w:rsid w:val="00987381"/>
    <w:rsid w:val="00987FFB"/>
    <w:rsid w:val="00990578"/>
    <w:rsid w:val="009906F6"/>
    <w:rsid w:val="0099089D"/>
    <w:rsid w:val="009908A7"/>
    <w:rsid w:val="0099098A"/>
    <w:rsid w:val="00990CF1"/>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0C07"/>
    <w:rsid w:val="009A1240"/>
    <w:rsid w:val="009A13AD"/>
    <w:rsid w:val="009A1798"/>
    <w:rsid w:val="009A1A64"/>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8C7"/>
    <w:rsid w:val="009A49F8"/>
    <w:rsid w:val="009A4FF9"/>
    <w:rsid w:val="009A55B9"/>
    <w:rsid w:val="009A59A2"/>
    <w:rsid w:val="009A5A26"/>
    <w:rsid w:val="009A5B27"/>
    <w:rsid w:val="009A5DAD"/>
    <w:rsid w:val="009A64C3"/>
    <w:rsid w:val="009A65F2"/>
    <w:rsid w:val="009A65FE"/>
    <w:rsid w:val="009A6744"/>
    <w:rsid w:val="009A687B"/>
    <w:rsid w:val="009A692A"/>
    <w:rsid w:val="009A6A63"/>
    <w:rsid w:val="009A6D38"/>
    <w:rsid w:val="009A6E11"/>
    <w:rsid w:val="009A6F42"/>
    <w:rsid w:val="009A706B"/>
    <w:rsid w:val="009A742C"/>
    <w:rsid w:val="009A74B8"/>
    <w:rsid w:val="009A75A3"/>
    <w:rsid w:val="009A7706"/>
    <w:rsid w:val="009A7C9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527"/>
    <w:rsid w:val="009B28BF"/>
    <w:rsid w:val="009B2E36"/>
    <w:rsid w:val="009B2F6E"/>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5C1"/>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BDD"/>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90E"/>
    <w:rsid w:val="009E1B7A"/>
    <w:rsid w:val="009E1BD6"/>
    <w:rsid w:val="009E1DB4"/>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6C24"/>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055"/>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9DC"/>
    <w:rsid w:val="009F6A39"/>
    <w:rsid w:val="009F6A79"/>
    <w:rsid w:val="009F6E71"/>
    <w:rsid w:val="009F7386"/>
    <w:rsid w:val="009F762C"/>
    <w:rsid w:val="009F76A7"/>
    <w:rsid w:val="009F7832"/>
    <w:rsid w:val="009F7A81"/>
    <w:rsid w:val="009F7AD8"/>
    <w:rsid w:val="009F7BEB"/>
    <w:rsid w:val="009F7E08"/>
    <w:rsid w:val="00A003B6"/>
    <w:rsid w:val="00A00415"/>
    <w:rsid w:val="00A00627"/>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4B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8F9"/>
    <w:rsid w:val="00A10A23"/>
    <w:rsid w:val="00A10D37"/>
    <w:rsid w:val="00A10DCF"/>
    <w:rsid w:val="00A112A9"/>
    <w:rsid w:val="00A112E5"/>
    <w:rsid w:val="00A11456"/>
    <w:rsid w:val="00A11535"/>
    <w:rsid w:val="00A1156D"/>
    <w:rsid w:val="00A11CCC"/>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F45"/>
    <w:rsid w:val="00A221E1"/>
    <w:rsid w:val="00A22549"/>
    <w:rsid w:val="00A226D1"/>
    <w:rsid w:val="00A2291E"/>
    <w:rsid w:val="00A22A7E"/>
    <w:rsid w:val="00A22BF7"/>
    <w:rsid w:val="00A22CBB"/>
    <w:rsid w:val="00A22D49"/>
    <w:rsid w:val="00A22D5A"/>
    <w:rsid w:val="00A23134"/>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84D"/>
    <w:rsid w:val="00A26C7D"/>
    <w:rsid w:val="00A26CDE"/>
    <w:rsid w:val="00A2713E"/>
    <w:rsid w:val="00A2778E"/>
    <w:rsid w:val="00A279AF"/>
    <w:rsid w:val="00A279C1"/>
    <w:rsid w:val="00A27B06"/>
    <w:rsid w:val="00A27B4B"/>
    <w:rsid w:val="00A27C4A"/>
    <w:rsid w:val="00A27C52"/>
    <w:rsid w:val="00A27CDC"/>
    <w:rsid w:val="00A27F79"/>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C4A"/>
    <w:rsid w:val="00A43D41"/>
    <w:rsid w:val="00A43EB6"/>
    <w:rsid w:val="00A445DE"/>
    <w:rsid w:val="00A448C9"/>
    <w:rsid w:val="00A44B5C"/>
    <w:rsid w:val="00A44C2E"/>
    <w:rsid w:val="00A44DB4"/>
    <w:rsid w:val="00A45795"/>
    <w:rsid w:val="00A45A5F"/>
    <w:rsid w:val="00A45C54"/>
    <w:rsid w:val="00A462BF"/>
    <w:rsid w:val="00A464D0"/>
    <w:rsid w:val="00A464FF"/>
    <w:rsid w:val="00A46606"/>
    <w:rsid w:val="00A46943"/>
    <w:rsid w:val="00A46A04"/>
    <w:rsid w:val="00A46ED8"/>
    <w:rsid w:val="00A46F81"/>
    <w:rsid w:val="00A47435"/>
    <w:rsid w:val="00A475C0"/>
    <w:rsid w:val="00A47678"/>
    <w:rsid w:val="00A477DD"/>
    <w:rsid w:val="00A478F1"/>
    <w:rsid w:val="00A4798A"/>
    <w:rsid w:val="00A47BE9"/>
    <w:rsid w:val="00A47BF2"/>
    <w:rsid w:val="00A500EF"/>
    <w:rsid w:val="00A50241"/>
    <w:rsid w:val="00A502BC"/>
    <w:rsid w:val="00A503DA"/>
    <w:rsid w:val="00A505F5"/>
    <w:rsid w:val="00A50787"/>
    <w:rsid w:val="00A5089D"/>
    <w:rsid w:val="00A50B16"/>
    <w:rsid w:val="00A50E48"/>
    <w:rsid w:val="00A50FD4"/>
    <w:rsid w:val="00A51040"/>
    <w:rsid w:val="00A511D2"/>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6E2"/>
    <w:rsid w:val="00A55913"/>
    <w:rsid w:val="00A55C47"/>
    <w:rsid w:val="00A55D54"/>
    <w:rsid w:val="00A561BE"/>
    <w:rsid w:val="00A5628E"/>
    <w:rsid w:val="00A56371"/>
    <w:rsid w:val="00A56785"/>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07D"/>
    <w:rsid w:val="00A71128"/>
    <w:rsid w:val="00A71219"/>
    <w:rsid w:val="00A71562"/>
    <w:rsid w:val="00A7159E"/>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6F8"/>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D8"/>
    <w:rsid w:val="00A814B5"/>
    <w:rsid w:val="00A81572"/>
    <w:rsid w:val="00A81753"/>
    <w:rsid w:val="00A8187B"/>
    <w:rsid w:val="00A81B5C"/>
    <w:rsid w:val="00A81BFA"/>
    <w:rsid w:val="00A81DDD"/>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396"/>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57"/>
    <w:rsid w:val="00A95097"/>
    <w:rsid w:val="00A95227"/>
    <w:rsid w:val="00A952BF"/>
    <w:rsid w:val="00A952D9"/>
    <w:rsid w:val="00A953FD"/>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679"/>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8CF"/>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4DB"/>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30E"/>
    <w:rsid w:val="00AD04D2"/>
    <w:rsid w:val="00AD0589"/>
    <w:rsid w:val="00AD0926"/>
    <w:rsid w:val="00AD094E"/>
    <w:rsid w:val="00AD0B92"/>
    <w:rsid w:val="00AD0C50"/>
    <w:rsid w:val="00AD0CF0"/>
    <w:rsid w:val="00AD0E0D"/>
    <w:rsid w:val="00AD0E10"/>
    <w:rsid w:val="00AD1156"/>
    <w:rsid w:val="00AD1354"/>
    <w:rsid w:val="00AD15CC"/>
    <w:rsid w:val="00AD15D1"/>
    <w:rsid w:val="00AD16A6"/>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2E5"/>
    <w:rsid w:val="00AD5456"/>
    <w:rsid w:val="00AD5A38"/>
    <w:rsid w:val="00AD5C0C"/>
    <w:rsid w:val="00AD6179"/>
    <w:rsid w:val="00AD62F6"/>
    <w:rsid w:val="00AD68C7"/>
    <w:rsid w:val="00AD6A6F"/>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3F26"/>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4F3"/>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174"/>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C09"/>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D2"/>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27F9C"/>
    <w:rsid w:val="00B30414"/>
    <w:rsid w:val="00B30A8F"/>
    <w:rsid w:val="00B30DC7"/>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3F"/>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177"/>
    <w:rsid w:val="00B5057F"/>
    <w:rsid w:val="00B506B4"/>
    <w:rsid w:val="00B506BC"/>
    <w:rsid w:val="00B506ED"/>
    <w:rsid w:val="00B50900"/>
    <w:rsid w:val="00B50BDB"/>
    <w:rsid w:val="00B50E3A"/>
    <w:rsid w:val="00B510B2"/>
    <w:rsid w:val="00B512D4"/>
    <w:rsid w:val="00B51693"/>
    <w:rsid w:val="00B519B4"/>
    <w:rsid w:val="00B519FF"/>
    <w:rsid w:val="00B51AFE"/>
    <w:rsid w:val="00B51BF0"/>
    <w:rsid w:val="00B51D8F"/>
    <w:rsid w:val="00B51E29"/>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612"/>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46B"/>
    <w:rsid w:val="00B66A16"/>
    <w:rsid w:val="00B6714B"/>
    <w:rsid w:val="00B67191"/>
    <w:rsid w:val="00B6741B"/>
    <w:rsid w:val="00B67428"/>
    <w:rsid w:val="00B677B4"/>
    <w:rsid w:val="00B679C3"/>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B6"/>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15A"/>
    <w:rsid w:val="00B815B7"/>
    <w:rsid w:val="00B8162A"/>
    <w:rsid w:val="00B816F2"/>
    <w:rsid w:val="00B81B1C"/>
    <w:rsid w:val="00B81DFD"/>
    <w:rsid w:val="00B82B8F"/>
    <w:rsid w:val="00B82DCF"/>
    <w:rsid w:val="00B82E9E"/>
    <w:rsid w:val="00B833D6"/>
    <w:rsid w:val="00B83410"/>
    <w:rsid w:val="00B83482"/>
    <w:rsid w:val="00B83519"/>
    <w:rsid w:val="00B838D9"/>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667"/>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6DF"/>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ABC"/>
    <w:rsid w:val="00BA5B75"/>
    <w:rsid w:val="00BA5C04"/>
    <w:rsid w:val="00BA5D93"/>
    <w:rsid w:val="00BA60D9"/>
    <w:rsid w:val="00BA62B4"/>
    <w:rsid w:val="00BA63F4"/>
    <w:rsid w:val="00BA64A2"/>
    <w:rsid w:val="00BA6500"/>
    <w:rsid w:val="00BA6542"/>
    <w:rsid w:val="00BA662B"/>
    <w:rsid w:val="00BA6865"/>
    <w:rsid w:val="00BA6A4D"/>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5D2"/>
    <w:rsid w:val="00BC16FD"/>
    <w:rsid w:val="00BC171D"/>
    <w:rsid w:val="00BC1766"/>
    <w:rsid w:val="00BC1C66"/>
    <w:rsid w:val="00BC1C7F"/>
    <w:rsid w:val="00BC1F3F"/>
    <w:rsid w:val="00BC2124"/>
    <w:rsid w:val="00BC264B"/>
    <w:rsid w:val="00BC284B"/>
    <w:rsid w:val="00BC2C2C"/>
    <w:rsid w:val="00BC2D0C"/>
    <w:rsid w:val="00BC2EF6"/>
    <w:rsid w:val="00BC34D7"/>
    <w:rsid w:val="00BC361B"/>
    <w:rsid w:val="00BC3BA4"/>
    <w:rsid w:val="00BC3C36"/>
    <w:rsid w:val="00BC3E10"/>
    <w:rsid w:val="00BC3E5F"/>
    <w:rsid w:val="00BC41BD"/>
    <w:rsid w:val="00BC42C8"/>
    <w:rsid w:val="00BC446D"/>
    <w:rsid w:val="00BC4625"/>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5EF"/>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AE1"/>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1F70"/>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0F6F"/>
    <w:rsid w:val="00BF11FA"/>
    <w:rsid w:val="00BF1353"/>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EB1"/>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1FD"/>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6"/>
    <w:rsid w:val="00C135EC"/>
    <w:rsid w:val="00C136AD"/>
    <w:rsid w:val="00C137AE"/>
    <w:rsid w:val="00C138B9"/>
    <w:rsid w:val="00C138FB"/>
    <w:rsid w:val="00C13956"/>
    <w:rsid w:val="00C13CD5"/>
    <w:rsid w:val="00C13F8D"/>
    <w:rsid w:val="00C13FBA"/>
    <w:rsid w:val="00C14200"/>
    <w:rsid w:val="00C144B8"/>
    <w:rsid w:val="00C148A0"/>
    <w:rsid w:val="00C148C4"/>
    <w:rsid w:val="00C14990"/>
    <w:rsid w:val="00C14BAC"/>
    <w:rsid w:val="00C14D3C"/>
    <w:rsid w:val="00C14D8A"/>
    <w:rsid w:val="00C15211"/>
    <w:rsid w:val="00C1542D"/>
    <w:rsid w:val="00C154B5"/>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DB0"/>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803"/>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DFD"/>
    <w:rsid w:val="00C63E9B"/>
    <w:rsid w:val="00C63F41"/>
    <w:rsid w:val="00C63F55"/>
    <w:rsid w:val="00C63F72"/>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7B9"/>
    <w:rsid w:val="00C74A06"/>
    <w:rsid w:val="00C74AB0"/>
    <w:rsid w:val="00C7506F"/>
    <w:rsid w:val="00C7512A"/>
    <w:rsid w:val="00C751BA"/>
    <w:rsid w:val="00C754FE"/>
    <w:rsid w:val="00C75748"/>
    <w:rsid w:val="00C758E3"/>
    <w:rsid w:val="00C75AC6"/>
    <w:rsid w:val="00C75BF7"/>
    <w:rsid w:val="00C75F0A"/>
    <w:rsid w:val="00C760B3"/>
    <w:rsid w:val="00C76294"/>
    <w:rsid w:val="00C76615"/>
    <w:rsid w:val="00C7666B"/>
    <w:rsid w:val="00C769B1"/>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68A"/>
    <w:rsid w:val="00C84716"/>
    <w:rsid w:val="00C8489C"/>
    <w:rsid w:val="00C84B9F"/>
    <w:rsid w:val="00C84EDF"/>
    <w:rsid w:val="00C854F3"/>
    <w:rsid w:val="00C8554E"/>
    <w:rsid w:val="00C85A8A"/>
    <w:rsid w:val="00C85C34"/>
    <w:rsid w:val="00C85E53"/>
    <w:rsid w:val="00C86031"/>
    <w:rsid w:val="00C860E4"/>
    <w:rsid w:val="00C86960"/>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2CD0"/>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977"/>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4A1"/>
    <w:rsid w:val="00CC6F30"/>
    <w:rsid w:val="00CC6FF1"/>
    <w:rsid w:val="00CC7024"/>
    <w:rsid w:val="00CC7105"/>
    <w:rsid w:val="00CC74A7"/>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5CA"/>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864"/>
    <w:rsid w:val="00CE1BC7"/>
    <w:rsid w:val="00CE229D"/>
    <w:rsid w:val="00CE2547"/>
    <w:rsid w:val="00CE25A3"/>
    <w:rsid w:val="00CE27A2"/>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54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13"/>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0EEE"/>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DD1"/>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167"/>
    <w:rsid w:val="00D0743E"/>
    <w:rsid w:val="00D076D4"/>
    <w:rsid w:val="00D077C7"/>
    <w:rsid w:val="00D07941"/>
    <w:rsid w:val="00D07B31"/>
    <w:rsid w:val="00D07D47"/>
    <w:rsid w:val="00D07F46"/>
    <w:rsid w:val="00D10225"/>
    <w:rsid w:val="00D1030C"/>
    <w:rsid w:val="00D1050C"/>
    <w:rsid w:val="00D10619"/>
    <w:rsid w:val="00D10CC5"/>
    <w:rsid w:val="00D10D96"/>
    <w:rsid w:val="00D11041"/>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A6F"/>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3E15"/>
    <w:rsid w:val="00D23EB8"/>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6F1"/>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6C75"/>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08"/>
    <w:rsid w:val="00D441D3"/>
    <w:rsid w:val="00D44485"/>
    <w:rsid w:val="00D44715"/>
    <w:rsid w:val="00D447F6"/>
    <w:rsid w:val="00D44A06"/>
    <w:rsid w:val="00D44BAA"/>
    <w:rsid w:val="00D454DB"/>
    <w:rsid w:val="00D457F6"/>
    <w:rsid w:val="00D45891"/>
    <w:rsid w:val="00D45DC2"/>
    <w:rsid w:val="00D4647A"/>
    <w:rsid w:val="00D46643"/>
    <w:rsid w:val="00D466A0"/>
    <w:rsid w:val="00D46A13"/>
    <w:rsid w:val="00D46BCB"/>
    <w:rsid w:val="00D46BDE"/>
    <w:rsid w:val="00D46F55"/>
    <w:rsid w:val="00D47039"/>
    <w:rsid w:val="00D4727B"/>
    <w:rsid w:val="00D4730E"/>
    <w:rsid w:val="00D474C3"/>
    <w:rsid w:val="00D47505"/>
    <w:rsid w:val="00D4755F"/>
    <w:rsid w:val="00D4793A"/>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29"/>
    <w:rsid w:val="00D55696"/>
    <w:rsid w:val="00D557C1"/>
    <w:rsid w:val="00D55971"/>
    <w:rsid w:val="00D559C0"/>
    <w:rsid w:val="00D559CA"/>
    <w:rsid w:val="00D55BE1"/>
    <w:rsid w:val="00D55C53"/>
    <w:rsid w:val="00D561CF"/>
    <w:rsid w:val="00D564FA"/>
    <w:rsid w:val="00D5658C"/>
    <w:rsid w:val="00D56636"/>
    <w:rsid w:val="00D5670A"/>
    <w:rsid w:val="00D56729"/>
    <w:rsid w:val="00D56D23"/>
    <w:rsid w:val="00D56E40"/>
    <w:rsid w:val="00D57133"/>
    <w:rsid w:val="00D57225"/>
    <w:rsid w:val="00D5734E"/>
    <w:rsid w:val="00D57547"/>
    <w:rsid w:val="00D57611"/>
    <w:rsid w:val="00D57A15"/>
    <w:rsid w:val="00D57B26"/>
    <w:rsid w:val="00D57F43"/>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06"/>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0ED"/>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4E32"/>
    <w:rsid w:val="00D95058"/>
    <w:rsid w:val="00D95192"/>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6F40"/>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2DAD"/>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26"/>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2E6D"/>
    <w:rsid w:val="00DC3262"/>
    <w:rsid w:val="00DC3439"/>
    <w:rsid w:val="00DC34BE"/>
    <w:rsid w:val="00DC35CE"/>
    <w:rsid w:val="00DC36ED"/>
    <w:rsid w:val="00DC3C50"/>
    <w:rsid w:val="00DC3E33"/>
    <w:rsid w:val="00DC41A8"/>
    <w:rsid w:val="00DC4229"/>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831"/>
    <w:rsid w:val="00DC690C"/>
    <w:rsid w:val="00DC6BED"/>
    <w:rsid w:val="00DC6DDE"/>
    <w:rsid w:val="00DC7284"/>
    <w:rsid w:val="00DC72A8"/>
    <w:rsid w:val="00DC75A2"/>
    <w:rsid w:val="00DC793B"/>
    <w:rsid w:val="00DC79B5"/>
    <w:rsid w:val="00DC7A92"/>
    <w:rsid w:val="00DC7B54"/>
    <w:rsid w:val="00DC7CAE"/>
    <w:rsid w:val="00DD009F"/>
    <w:rsid w:val="00DD014C"/>
    <w:rsid w:val="00DD0550"/>
    <w:rsid w:val="00DD0605"/>
    <w:rsid w:val="00DD06F3"/>
    <w:rsid w:val="00DD0C4B"/>
    <w:rsid w:val="00DD0DE8"/>
    <w:rsid w:val="00DD0FCC"/>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BD7"/>
    <w:rsid w:val="00DD6F96"/>
    <w:rsid w:val="00DD6F9E"/>
    <w:rsid w:val="00DD6FB1"/>
    <w:rsid w:val="00DD74F8"/>
    <w:rsid w:val="00DD7818"/>
    <w:rsid w:val="00DE027D"/>
    <w:rsid w:val="00DE0749"/>
    <w:rsid w:val="00DE08CC"/>
    <w:rsid w:val="00DE0B62"/>
    <w:rsid w:val="00DE0C45"/>
    <w:rsid w:val="00DE1183"/>
    <w:rsid w:val="00DE1311"/>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999"/>
    <w:rsid w:val="00DF20E3"/>
    <w:rsid w:val="00DF212F"/>
    <w:rsid w:val="00DF25BA"/>
    <w:rsid w:val="00DF27BE"/>
    <w:rsid w:val="00DF2927"/>
    <w:rsid w:val="00DF29DE"/>
    <w:rsid w:val="00DF2A59"/>
    <w:rsid w:val="00DF2B23"/>
    <w:rsid w:val="00DF2C5E"/>
    <w:rsid w:val="00DF2CBD"/>
    <w:rsid w:val="00DF2DB2"/>
    <w:rsid w:val="00DF2EB7"/>
    <w:rsid w:val="00DF2EFE"/>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0F9"/>
    <w:rsid w:val="00DF5179"/>
    <w:rsid w:val="00DF5BB7"/>
    <w:rsid w:val="00DF5BFF"/>
    <w:rsid w:val="00DF5C15"/>
    <w:rsid w:val="00DF5F78"/>
    <w:rsid w:val="00DF6089"/>
    <w:rsid w:val="00DF6149"/>
    <w:rsid w:val="00DF6615"/>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D71"/>
    <w:rsid w:val="00E00FE0"/>
    <w:rsid w:val="00E01102"/>
    <w:rsid w:val="00E011AD"/>
    <w:rsid w:val="00E0135B"/>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2F90"/>
    <w:rsid w:val="00E2306E"/>
    <w:rsid w:val="00E23087"/>
    <w:rsid w:val="00E232D1"/>
    <w:rsid w:val="00E234BB"/>
    <w:rsid w:val="00E235CF"/>
    <w:rsid w:val="00E23770"/>
    <w:rsid w:val="00E2399D"/>
    <w:rsid w:val="00E239C5"/>
    <w:rsid w:val="00E23D2F"/>
    <w:rsid w:val="00E23F47"/>
    <w:rsid w:val="00E23F88"/>
    <w:rsid w:val="00E23FC8"/>
    <w:rsid w:val="00E24718"/>
    <w:rsid w:val="00E24812"/>
    <w:rsid w:val="00E24939"/>
    <w:rsid w:val="00E249CE"/>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DE0"/>
    <w:rsid w:val="00E32F9C"/>
    <w:rsid w:val="00E33150"/>
    <w:rsid w:val="00E333EF"/>
    <w:rsid w:val="00E336D3"/>
    <w:rsid w:val="00E3382C"/>
    <w:rsid w:val="00E339A0"/>
    <w:rsid w:val="00E33D57"/>
    <w:rsid w:val="00E3411A"/>
    <w:rsid w:val="00E3424C"/>
    <w:rsid w:val="00E34522"/>
    <w:rsid w:val="00E34AAB"/>
    <w:rsid w:val="00E34D0D"/>
    <w:rsid w:val="00E34FCF"/>
    <w:rsid w:val="00E3505A"/>
    <w:rsid w:val="00E3521E"/>
    <w:rsid w:val="00E3526B"/>
    <w:rsid w:val="00E352FB"/>
    <w:rsid w:val="00E353ED"/>
    <w:rsid w:val="00E3570C"/>
    <w:rsid w:val="00E35810"/>
    <w:rsid w:val="00E358AE"/>
    <w:rsid w:val="00E35977"/>
    <w:rsid w:val="00E35C6F"/>
    <w:rsid w:val="00E35D88"/>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E1"/>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06"/>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1EE4"/>
    <w:rsid w:val="00E620DE"/>
    <w:rsid w:val="00E621FF"/>
    <w:rsid w:val="00E62439"/>
    <w:rsid w:val="00E62683"/>
    <w:rsid w:val="00E62687"/>
    <w:rsid w:val="00E62A8E"/>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1B"/>
    <w:rsid w:val="00E72764"/>
    <w:rsid w:val="00E72898"/>
    <w:rsid w:val="00E72985"/>
    <w:rsid w:val="00E72CA9"/>
    <w:rsid w:val="00E72D0D"/>
    <w:rsid w:val="00E72DD1"/>
    <w:rsid w:val="00E72DF1"/>
    <w:rsid w:val="00E72F05"/>
    <w:rsid w:val="00E72F15"/>
    <w:rsid w:val="00E72F8B"/>
    <w:rsid w:val="00E73052"/>
    <w:rsid w:val="00E73105"/>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125"/>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2DB"/>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0DB"/>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54"/>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487"/>
    <w:rsid w:val="00EC6747"/>
    <w:rsid w:val="00EC6763"/>
    <w:rsid w:val="00EC678F"/>
    <w:rsid w:val="00EC6AAC"/>
    <w:rsid w:val="00EC6C54"/>
    <w:rsid w:val="00EC6E9E"/>
    <w:rsid w:val="00EC6ED9"/>
    <w:rsid w:val="00EC70DE"/>
    <w:rsid w:val="00EC7188"/>
    <w:rsid w:val="00EC74A5"/>
    <w:rsid w:val="00EC7643"/>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12"/>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61"/>
    <w:rsid w:val="00EE0B72"/>
    <w:rsid w:val="00EE0F04"/>
    <w:rsid w:val="00EE0F4D"/>
    <w:rsid w:val="00EE0FA1"/>
    <w:rsid w:val="00EE109E"/>
    <w:rsid w:val="00EE1124"/>
    <w:rsid w:val="00EE17C9"/>
    <w:rsid w:val="00EE187A"/>
    <w:rsid w:val="00EE1D72"/>
    <w:rsid w:val="00EE2092"/>
    <w:rsid w:val="00EE225C"/>
    <w:rsid w:val="00EE28F8"/>
    <w:rsid w:val="00EE2AEC"/>
    <w:rsid w:val="00EE3064"/>
    <w:rsid w:val="00EE335F"/>
    <w:rsid w:val="00EE3470"/>
    <w:rsid w:val="00EE3506"/>
    <w:rsid w:val="00EE3A5C"/>
    <w:rsid w:val="00EE3CB5"/>
    <w:rsid w:val="00EE3F8A"/>
    <w:rsid w:val="00EE42C6"/>
    <w:rsid w:val="00EE44B2"/>
    <w:rsid w:val="00EE474B"/>
    <w:rsid w:val="00EE477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998"/>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3FC"/>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DA2"/>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3C"/>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0C5"/>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A00"/>
    <w:rsid w:val="00F14C06"/>
    <w:rsid w:val="00F14E45"/>
    <w:rsid w:val="00F14FFF"/>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10"/>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2D71"/>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E1"/>
    <w:rsid w:val="00F266F4"/>
    <w:rsid w:val="00F26823"/>
    <w:rsid w:val="00F26A52"/>
    <w:rsid w:val="00F26E9E"/>
    <w:rsid w:val="00F2758A"/>
    <w:rsid w:val="00F2792C"/>
    <w:rsid w:val="00F27AA2"/>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BBD"/>
    <w:rsid w:val="00F34D39"/>
    <w:rsid w:val="00F34DEC"/>
    <w:rsid w:val="00F35241"/>
    <w:rsid w:val="00F3560C"/>
    <w:rsid w:val="00F35910"/>
    <w:rsid w:val="00F359F4"/>
    <w:rsid w:val="00F35B07"/>
    <w:rsid w:val="00F35BEF"/>
    <w:rsid w:val="00F35E10"/>
    <w:rsid w:val="00F35E96"/>
    <w:rsid w:val="00F3606C"/>
    <w:rsid w:val="00F36209"/>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B8"/>
    <w:rsid w:val="00F44ECA"/>
    <w:rsid w:val="00F44FBE"/>
    <w:rsid w:val="00F45185"/>
    <w:rsid w:val="00F451F3"/>
    <w:rsid w:val="00F45224"/>
    <w:rsid w:val="00F45D66"/>
    <w:rsid w:val="00F46014"/>
    <w:rsid w:val="00F46125"/>
    <w:rsid w:val="00F46177"/>
    <w:rsid w:val="00F461F6"/>
    <w:rsid w:val="00F4623C"/>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47E24"/>
    <w:rsid w:val="00F50109"/>
    <w:rsid w:val="00F5025B"/>
    <w:rsid w:val="00F506C6"/>
    <w:rsid w:val="00F50A5C"/>
    <w:rsid w:val="00F50D7C"/>
    <w:rsid w:val="00F5121D"/>
    <w:rsid w:val="00F51393"/>
    <w:rsid w:val="00F516C5"/>
    <w:rsid w:val="00F51BCE"/>
    <w:rsid w:val="00F51BF4"/>
    <w:rsid w:val="00F51E85"/>
    <w:rsid w:val="00F52038"/>
    <w:rsid w:val="00F521AF"/>
    <w:rsid w:val="00F5221A"/>
    <w:rsid w:val="00F52407"/>
    <w:rsid w:val="00F5276F"/>
    <w:rsid w:val="00F527DD"/>
    <w:rsid w:val="00F528B2"/>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14D"/>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34"/>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898"/>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3ECA"/>
    <w:rsid w:val="00F84129"/>
    <w:rsid w:val="00F8487C"/>
    <w:rsid w:val="00F848D9"/>
    <w:rsid w:val="00F84D5A"/>
    <w:rsid w:val="00F85361"/>
    <w:rsid w:val="00F85418"/>
    <w:rsid w:val="00F8549A"/>
    <w:rsid w:val="00F854C6"/>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678"/>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E5E"/>
    <w:rsid w:val="00F96EA9"/>
    <w:rsid w:val="00F96F30"/>
    <w:rsid w:val="00F972FC"/>
    <w:rsid w:val="00F977B5"/>
    <w:rsid w:val="00F97AFF"/>
    <w:rsid w:val="00F97B04"/>
    <w:rsid w:val="00FA0133"/>
    <w:rsid w:val="00FA0405"/>
    <w:rsid w:val="00FA04B4"/>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8E"/>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6D5"/>
    <w:rsid w:val="00FD370D"/>
    <w:rsid w:val="00FD3B21"/>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0B2"/>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27C"/>
    <w:rsid w:val="00FF34DD"/>
    <w:rsid w:val="00FF38BF"/>
    <w:rsid w:val="00FF3FC1"/>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9B7E69"/>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74609"/>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73E8E"/>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2752A"/>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56D6C"/>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A7325"/>
    <w:rsid w:val="0A4B759E"/>
    <w:rsid w:val="0A540C8C"/>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AE0569"/>
    <w:rsid w:val="0AB12265"/>
    <w:rsid w:val="0AB7726A"/>
    <w:rsid w:val="0AB80BC9"/>
    <w:rsid w:val="0ABA06F0"/>
    <w:rsid w:val="0ABA52E8"/>
    <w:rsid w:val="0ABE7BB8"/>
    <w:rsid w:val="0ABF6B82"/>
    <w:rsid w:val="0AC42A22"/>
    <w:rsid w:val="0AC8144F"/>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2D3C"/>
    <w:rsid w:val="0D1F5FE0"/>
    <w:rsid w:val="0D292186"/>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37D69"/>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029C9"/>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762F4"/>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33415"/>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E4F8A"/>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0F39CD"/>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A08C4"/>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0AF0"/>
    <w:rsid w:val="1F313C25"/>
    <w:rsid w:val="1F37188E"/>
    <w:rsid w:val="1F3825EC"/>
    <w:rsid w:val="1F3956A4"/>
    <w:rsid w:val="1F3A7AF6"/>
    <w:rsid w:val="1F3C0A66"/>
    <w:rsid w:val="1F3C7DAD"/>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23873"/>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1707"/>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14471"/>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623CA"/>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13485"/>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25DD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02FC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296D"/>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CF3038"/>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A477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73B05"/>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2FFF14C0"/>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A0F70"/>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709CA"/>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94FA3"/>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A10D3"/>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098"/>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51C39"/>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E7CA0"/>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62AE7"/>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55C75"/>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2664E"/>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56730"/>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A0B4A"/>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36A5D"/>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3B2E"/>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3C4639"/>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85505"/>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57EB"/>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13F8C"/>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5F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E7FB9"/>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69D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674DE"/>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1127"/>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56192"/>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1E3B"/>
    <w:rsid w:val="65412072"/>
    <w:rsid w:val="65454A6C"/>
    <w:rsid w:val="65454B28"/>
    <w:rsid w:val="65480DED"/>
    <w:rsid w:val="654A37E4"/>
    <w:rsid w:val="654B20B5"/>
    <w:rsid w:val="654C56E3"/>
    <w:rsid w:val="654E0733"/>
    <w:rsid w:val="654F3502"/>
    <w:rsid w:val="65532D3E"/>
    <w:rsid w:val="65584A8B"/>
    <w:rsid w:val="655959B1"/>
    <w:rsid w:val="655A286C"/>
    <w:rsid w:val="655A6630"/>
    <w:rsid w:val="65610CE1"/>
    <w:rsid w:val="65612598"/>
    <w:rsid w:val="65673758"/>
    <w:rsid w:val="6569737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B3058"/>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5625"/>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54975"/>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90C01"/>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754B9"/>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D2ACB"/>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442"/>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73C7B"/>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1507"/>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02756"/>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95C71"/>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BE2401"/>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BF0393"/>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35ED35E"/>
  <w15:docId w15:val="{E73D94F6-238D-40CC-ACA3-B4CF48C4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napToGrid w:val="0"/>
      <w:spacing w:beforeAutospacing="1" w:afterLines="50" w:after="50"/>
    </w:pPr>
    <w:rPr>
      <w:rFonts w:eastAsia="Times New Roman"/>
      <w:szCs w:val="24"/>
    </w:rPr>
  </w:style>
  <w:style w:type="paragraph" w:styleId="1">
    <w:name w:val="heading 1"/>
    <w:basedOn w:val="a"/>
    <w:next w:val="a"/>
    <w:link w:val="10"/>
    <w:uiPriority w:val="99"/>
    <w:qFormat/>
    <w:pPr>
      <w:widowControl w:val="0"/>
      <w:numPr>
        <w:numId w:val="1"/>
      </w:numPr>
      <w:autoSpaceDE w:val="0"/>
      <w:autoSpaceDN w:val="0"/>
      <w:adjustRightInd w:val="0"/>
      <w:spacing w:beforeLines="50" w:before="50" w:beforeAutospacing="0" w:line="360" w:lineRule="auto"/>
      <w:ind w:left="431" w:hanging="431"/>
      <w:jc w:val="both"/>
      <w:outlineLvl w:val="0"/>
    </w:pPr>
    <w:rPr>
      <w:rFonts w:eastAsia="黑体"/>
      <w:b/>
      <w:bCs/>
      <w:sz w:val="30"/>
      <w:szCs w:val="30"/>
      <w:lang w:val="zh-CN"/>
    </w:rPr>
  </w:style>
  <w:style w:type="paragraph" w:styleId="2">
    <w:name w:val="heading 2"/>
    <w:basedOn w:val="1"/>
    <w:next w:val="a"/>
    <w:link w:val="20"/>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1"/>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0"/>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0"/>
    <w:qFormat/>
    <w:pPr>
      <w:outlineLvl w:val="4"/>
    </w:pPr>
    <w:rPr>
      <w:szCs w:val="24"/>
    </w:rPr>
  </w:style>
  <w:style w:type="paragraph" w:styleId="6">
    <w:name w:val="heading 6"/>
    <w:basedOn w:val="a"/>
    <w:next w:val="a"/>
    <w:link w:val="60"/>
    <w:uiPriority w:val="9"/>
    <w:qFormat/>
    <w:pPr>
      <w:keepNext/>
      <w:keepLines/>
      <w:numPr>
        <w:ilvl w:val="5"/>
        <w:numId w:val="1"/>
      </w:numPr>
      <w:tabs>
        <w:tab w:val="left" w:pos="432"/>
      </w:tabs>
      <w:adjustRightInd w:val="0"/>
      <w:spacing w:beforeLines="30" w:before="240" w:beforeAutospacing="0" w:afterLines="30" w:after="64" w:line="320" w:lineRule="auto"/>
      <w:jc w:val="both"/>
      <w:outlineLvl w:val="5"/>
    </w:pPr>
    <w:rPr>
      <w:rFonts w:ascii="Cambria" w:hAnsi="Cambria" w:cs="黑体"/>
      <w:b/>
      <w:bCs/>
    </w:rPr>
  </w:style>
  <w:style w:type="paragraph" w:styleId="7">
    <w:name w:val="heading 7"/>
    <w:basedOn w:val="a"/>
    <w:next w:val="a"/>
    <w:link w:val="70"/>
    <w:uiPriority w:val="9"/>
    <w:qFormat/>
    <w:pPr>
      <w:keepNext/>
      <w:keepLines/>
      <w:numPr>
        <w:ilvl w:val="6"/>
        <w:numId w:val="1"/>
      </w:numPr>
      <w:tabs>
        <w:tab w:val="left" w:pos="432"/>
      </w:tabs>
      <w:adjustRightInd w:val="0"/>
      <w:spacing w:beforeLines="30" w:before="240" w:beforeAutospacing="0" w:afterLines="30" w:after="64" w:line="320" w:lineRule="auto"/>
      <w:jc w:val="both"/>
      <w:outlineLvl w:val="6"/>
    </w:pPr>
    <w:rPr>
      <w:b/>
      <w:bCs/>
    </w:rPr>
  </w:style>
  <w:style w:type="paragraph" w:styleId="8">
    <w:name w:val="heading 8"/>
    <w:basedOn w:val="a"/>
    <w:next w:val="a"/>
    <w:link w:val="80"/>
    <w:uiPriority w:val="9"/>
    <w:qFormat/>
    <w:pPr>
      <w:keepNext/>
      <w:keepLines/>
      <w:numPr>
        <w:ilvl w:val="7"/>
        <w:numId w:val="1"/>
      </w:numPr>
      <w:tabs>
        <w:tab w:val="left" w:pos="432"/>
      </w:tabs>
      <w:adjustRightInd w:val="0"/>
      <w:spacing w:beforeLines="30" w:before="240" w:beforeAutospacing="0" w:afterLines="30" w:after="64" w:line="320" w:lineRule="auto"/>
      <w:jc w:val="both"/>
      <w:outlineLvl w:val="7"/>
    </w:pPr>
    <w:rPr>
      <w:rFonts w:ascii="Cambria" w:hAnsi="Cambria" w:cs="黑体"/>
    </w:rPr>
  </w:style>
  <w:style w:type="paragraph" w:styleId="9">
    <w:name w:val="heading 9"/>
    <w:basedOn w:val="a"/>
    <w:next w:val="a"/>
    <w:link w:val="90"/>
    <w:uiPriority w:val="9"/>
    <w:qFormat/>
    <w:pPr>
      <w:keepNext/>
      <w:keepLines/>
      <w:numPr>
        <w:ilvl w:val="8"/>
        <w:numId w:val="1"/>
      </w:numPr>
      <w:tabs>
        <w:tab w:val="left" w:pos="432"/>
      </w:tabs>
      <w:adjustRightInd w:val="0"/>
      <w:spacing w:beforeLines="30" w:before="240" w:beforeAutospacing="0" w:afterLines="30" w:after="64" w:line="320" w:lineRule="auto"/>
      <w:jc w:val="both"/>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adjustRightInd w:val="0"/>
      <w:spacing w:beforeLines="30" w:before="30" w:beforeAutospacing="0" w:afterLines="30" w:after="30" w:line="264" w:lineRule="auto"/>
      <w:ind w:leftChars="400" w:left="100" w:hangingChars="200" w:hanging="200"/>
      <w:contextualSpacing/>
      <w:jc w:val="both"/>
    </w:pPr>
    <w:rPr>
      <w:szCs w:val="22"/>
    </w:rPr>
  </w:style>
  <w:style w:type="paragraph" w:styleId="a3">
    <w:name w:val="Normal Indent"/>
    <w:basedOn w:val="a"/>
    <w:qFormat/>
    <w:pPr>
      <w:widowControl w:val="0"/>
      <w:adjustRightInd w:val="0"/>
      <w:spacing w:beforeLines="30" w:before="30" w:beforeAutospacing="0" w:afterLines="30" w:after="30" w:line="264" w:lineRule="auto"/>
      <w:ind w:firstLine="420"/>
      <w:jc w:val="both"/>
    </w:pPr>
    <w:rPr>
      <w:kern w:val="2"/>
      <w:sz w:val="21"/>
      <w:szCs w:val="20"/>
    </w:rPr>
  </w:style>
  <w:style w:type="paragraph" w:styleId="a4">
    <w:name w:val="caption"/>
    <w:basedOn w:val="a"/>
    <w:next w:val="a"/>
    <w:link w:val="a5"/>
    <w:qFormat/>
    <w:pPr>
      <w:tabs>
        <w:tab w:val="left" w:pos="1418"/>
      </w:tabs>
      <w:adjustRightInd w:val="0"/>
      <w:spacing w:beforeLines="30" w:before="120" w:beforeAutospacing="0" w:afterLines="30" w:after="120" w:line="264" w:lineRule="auto"/>
      <w:jc w:val="both"/>
    </w:pPr>
    <w:rPr>
      <w:b/>
      <w:bCs/>
      <w:szCs w:val="20"/>
    </w:rPr>
  </w:style>
  <w:style w:type="paragraph" w:styleId="a6">
    <w:name w:val="Document Map"/>
    <w:basedOn w:val="a"/>
    <w:link w:val="a7"/>
    <w:unhideWhenUsed/>
    <w:qFormat/>
    <w:pPr>
      <w:adjustRightInd w:val="0"/>
      <w:spacing w:beforeLines="30" w:before="30" w:beforeAutospacing="0" w:afterLines="30" w:after="30" w:line="264" w:lineRule="auto"/>
      <w:jc w:val="both"/>
    </w:pPr>
    <w:rPr>
      <w:rFonts w:ascii="宋体"/>
      <w:sz w:val="18"/>
      <w:szCs w:val="18"/>
    </w:rPr>
  </w:style>
  <w:style w:type="paragraph" w:styleId="a8">
    <w:name w:val="annotation text"/>
    <w:basedOn w:val="a"/>
    <w:link w:val="a9"/>
    <w:uiPriority w:val="99"/>
    <w:unhideWhenUsed/>
    <w:qFormat/>
    <w:pPr>
      <w:adjustRightInd w:val="0"/>
      <w:spacing w:beforeLines="30" w:before="30" w:beforeAutospacing="0" w:afterLines="30" w:after="30" w:line="264" w:lineRule="auto"/>
      <w:jc w:val="both"/>
    </w:pPr>
    <w:rPr>
      <w:szCs w:val="20"/>
    </w:rPr>
  </w:style>
  <w:style w:type="paragraph" w:styleId="aa">
    <w:name w:val="Body Text"/>
    <w:basedOn w:val="a"/>
    <w:link w:val="ab"/>
    <w:qFormat/>
    <w:pPr>
      <w:widowControl w:val="0"/>
      <w:adjustRightInd w:val="0"/>
      <w:spacing w:beforeLines="30" w:before="30" w:beforeAutospacing="0" w:afterLines="30" w:after="30" w:line="264" w:lineRule="auto"/>
      <w:jc w:val="both"/>
    </w:pPr>
    <w:rPr>
      <w:color w:val="000000"/>
      <w:kern w:val="2"/>
      <w:sz w:val="21"/>
      <w:szCs w:val="20"/>
    </w:rPr>
  </w:style>
  <w:style w:type="paragraph" w:styleId="ac">
    <w:name w:val="Body Text Indent"/>
    <w:basedOn w:val="a"/>
    <w:link w:val="ad"/>
    <w:uiPriority w:val="99"/>
    <w:unhideWhenUsed/>
    <w:qFormat/>
    <w:pPr>
      <w:adjustRightInd w:val="0"/>
      <w:spacing w:beforeLines="30" w:before="30" w:beforeAutospacing="0" w:afterLines="30" w:after="120" w:line="264" w:lineRule="auto"/>
      <w:ind w:left="360"/>
      <w:jc w:val="both"/>
    </w:pPr>
    <w:rPr>
      <w:szCs w:val="22"/>
    </w:rPr>
  </w:style>
  <w:style w:type="paragraph" w:styleId="30">
    <w:name w:val="List Number 3"/>
    <w:basedOn w:val="a"/>
    <w:qFormat/>
    <w:pPr>
      <w:numPr>
        <w:numId w:val="3"/>
      </w:numPr>
      <w:overflowPunct w:val="0"/>
      <w:autoSpaceDE w:val="0"/>
      <w:autoSpaceDN w:val="0"/>
      <w:adjustRightInd w:val="0"/>
      <w:snapToGrid/>
      <w:spacing w:beforeAutospacing="0" w:afterLines="0" w:after="180"/>
      <w:textAlignment w:val="baseline"/>
    </w:pPr>
    <w:rPr>
      <w:rFonts w:eastAsia="宋体"/>
      <w:szCs w:val="20"/>
      <w:lang w:val="en-GB" w:eastAsia="en-US"/>
    </w:rPr>
  </w:style>
  <w:style w:type="paragraph" w:styleId="21">
    <w:name w:val="List 2"/>
    <w:basedOn w:val="a"/>
    <w:uiPriority w:val="99"/>
    <w:unhideWhenUsed/>
    <w:qFormat/>
    <w:pPr>
      <w:ind w:left="851"/>
    </w:pPr>
  </w:style>
  <w:style w:type="paragraph" w:styleId="ae">
    <w:name w:val="Plain Text"/>
    <w:basedOn w:val="a"/>
    <w:link w:val="af"/>
    <w:uiPriority w:val="99"/>
    <w:unhideWhenUsed/>
    <w:qFormat/>
    <w:pPr>
      <w:adjustRightInd w:val="0"/>
      <w:spacing w:beforeLines="30" w:before="30" w:beforeAutospacing="0" w:afterLines="30" w:after="30" w:line="264" w:lineRule="auto"/>
      <w:jc w:val="both"/>
    </w:pPr>
    <w:rPr>
      <w:rFonts w:eastAsia="Calibri"/>
      <w:szCs w:val="21"/>
      <w:lang w:eastAsia="en-US"/>
    </w:rPr>
  </w:style>
  <w:style w:type="paragraph" w:styleId="af0">
    <w:name w:val="Date"/>
    <w:basedOn w:val="a"/>
    <w:next w:val="a"/>
    <w:link w:val="af1"/>
    <w:uiPriority w:val="99"/>
    <w:unhideWhenUsed/>
    <w:qFormat/>
    <w:pPr>
      <w:adjustRightInd w:val="0"/>
      <w:spacing w:beforeLines="30" w:before="30" w:beforeAutospacing="0" w:afterLines="30" w:after="30" w:line="264" w:lineRule="auto"/>
      <w:ind w:leftChars="2500" w:left="100"/>
      <w:jc w:val="both"/>
    </w:pPr>
    <w:rPr>
      <w:szCs w:val="22"/>
    </w:rPr>
  </w:style>
  <w:style w:type="paragraph" w:styleId="af2">
    <w:name w:val="Balloon Text"/>
    <w:basedOn w:val="a"/>
    <w:link w:val="af3"/>
    <w:uiPriority w:val="99"/>
    <w:unhideWhenUsed/>
    <w:qFormat/>
    <w:pPr>
      <w:adjustRightInd w:val="0"/>
      <w:spacing w:beforeLines="30" w:before="30" w:beforeAutospacing="0" w:afterLines="30" w:after="30" w:line="264" w:lineRule="auto"/>
      <w:jc w:val="both"/>
    </w:pPr>
    <w:rPr>
      <w:rFonts w:ascii="Tahoma" w:hAnsi="Tahoma"/>
      <w:sz w:val="16"/>
      <w:szCs w:val="16"/>
    </w:rPr>
  </w:style>
  <w:style w:type="paragraph" w:styleId="af4">
    <w:name w:val="footer"/>
    <w:basedOn w:val="a"/>
    <w:link w:val="af5"/>
    <w:uiPriority w:val="99"/>
    <w:unhideWhenUsed/>
    <w:qFormat/>
    <w:pPr>
      <w:tabs>
        <w:tab w:val="center" w:pos="4153"/>
        <w:tab w:val="right" w:pos="8306"/>
      </w:tabs>
      <w:adjustRightInd w:val="0"/>
      <w:spacing w:beforeLines="30" w:before="30" w:beforeAutospacing="0" w:afterLines="30" w:after="30" w:line="264" w:lineRule="auto"/>
      <w:jc w:val="both"/>
    </w:pPr>
    <w:rPr>
      <w:sz w:val="18"/>
      <w:szCs w:val="18"/>
    </w:rPr>
  </w:style>
  <w:style w:type="paragraph" w:styleId="af6">
    <w:name w:val="header"/>
    <w:basedOn w:val="a"/>
    <w:link w:val="af7"/>
    <w:qFormat/>
    <w:pPr>
      <w:tabs>
        <w:tab w:val="center" w:pos="4536"/>
        <w:tab w:val="right" w:pos="9072"/>
      </w:tabs>
      <w:adjustRightInd w:val="0"/>
      <w:spacing w:beforeLines="30" w:before="30" w:beforeAutospacing="0" w:afterLines="30" w:after="30" w:line="264" w:lineRule="auto"/>
      <w:jc w:val="both"/>
    </w:pPr>
    <w:rPr>
      <w:rFonts w:ascii="Arial" w:eastAsia="MS Mincho" w:hAnsi="Arial"/>
      <w:b/>
      <w:lang w:eastAsia="en-US"/>
    </w:rPr>
  </w:style>
  <w:style w:type="paragraph" w:styleId="af8">
    <w:name w:val="List"/>
    <w:basedOn w:val="a"/>
    <w:uiPriority w:val="99"/>
    <w:unhideWhenUsed/>
    <w:qFormat/>
    <w:pPr>
      <w:adjustRightInd w:val="0"/>
      <w:spacing w:beforeLines="30" w:before="30" w:beforeAutospacing="0" w:afterLines="30" w:after="30" w:line="264" w:lineRule="auto"/>
      <w:ind w:left="568" w:hanging="284"/>
      <w:jc w:val="both"/>
    </w:pPr>
    <w:rPr>
      <w:szCs w:val="22"/>
    </w:rPr>
  </w:style>
  <w:style w:type="paragraph" w:styleId="af9">
    <w:name w:val="Normal (Web)"/>
    <w:basedOn w:val="a"/>
    <w:uiPriority w:val="99"/>
    <w:unhideWhenUsed/>
    <w:qFormat/>
    <w:pPr>
      <w:adjustRightInd w:val="0"/>
      <w:spacing w:beforeLines="30" w:before="30" w:beforeAutospacing="0" w:afterLines="30" w:after="30" w:line="264" w:lineRule="auto"/>
      <w:jc w:val="both"/>
    </w:pPr>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Emphasis"/>
    <w:basedOn w:val="a0"/>
    <w:uiPriority w:val="20"/>
    <w:qFormat/>
    <w:rPr>
      <w:i/>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3">
    <w:name w:val="批注框文本 字符"/>
    <w:link w:val="af2"/>
    <w:uiPriority w:val="99"/>
    <w:semiHidden/>
    <w:qFormat/>
    <w:rPr>
      <w:rFonts w:ascii="Tahoma" w:hAnsi="Tahoma" w:cs="Tahoma"/>
      <w:sz w:val="16"/>
      <w:szCs w:val="16"/>
    </w:rPr>
  </w:style>
  <w:style w:type="character" w:customStyle="1" w:styleId="20">
    <w:name w:val="标题 2 字符"/>
    <w:link w:val="2"/>
    <w:qFormat/>
    <w:rPr>
      <w:rFonts w:ascii="Times New Roman" w:eastAsia="宋体" w:hAnsi="Times New Roman"/>
      <w:b/>
      <w:bCs/>
      <w:kern w:val="2"/>
      <w:sz w:val="24"/>
      <w:szCs w:val="24"/>
      <w:lang w:val="zh-CN"/>
    </w:rPr>
  </w:style>
  <w:style w:type="character" w:customStyle="1" w:styleId="10">
    <w:name w:val="标题 1 字符"/>
    <w:link w:val="1"/>
    <w:uiPriority w:val="99"/>
    <w:qFormat/>
    <w:rPr>
      <w:rFonts w:ascii="Times New Roman" w:eastAsia="黑体" w:hAnsi="Times New Roman"/>
      <w:b/>
      <w:bCs/>
      <w:sz w:val="30"/>
      <w:szCs w:val="30"/>
      <w:lang w:val="zh-CN" w:eastAsia="zh-CN"/>
    </w:rPr>
  </w:style>
  <w:style w:type="character" w:customStyle="1" w:styleId="31">
    <w:name w:val="标题 3 字符"/>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adjustRightInd w:val="0"/>
      <w:spacing w:beforeLines="30" w:before="60" w:beforeAutospacing="0" w:afterLines="30" w:line="264" w:lineRule="auto"/>
      <w:jc w:val="center"/>
    </w:pPr>
    <w:rPr>
      <w:rFonts w:ascii="Arial" w:hAnsi="Arial"/>
      <w:b/>
      <w:szCs w:val="20"/>
      <w:lang w:eastAsia="en-US"/>
    </w:rPr>
  </w:style>
  <w:style w:type="paragraph" w:customStyle="1" w:styleId="51">
    <w:name w:val="列出段落5"/>
    <w:basedOn w:val="a"/>
    <w:uiPriority w:val="99"/>
    <w:unhideWhenUsed/>
    <w:qFormat/>
    <w:pPr>
      <w:adjustRightInd w:val="0"/>
      <w:spacing w:beforeLines="30" w:before="30" w:beforeAutospacing="0" w:afterLines="30" w:after="30" w:line="264" w:lineRule="auto"/>
      <w:ind w:firstLineChars="200" w:firstLine="420"/>
      <w:jc w:val="both"/>
    </w:pPr>
    <w:rPr>
      <w:szCs w:val="22"/>
    </w:rPr>
  </w:style>
  <w:style w:type="paragraph" w:customStyle="1" w:styleId="EQ">
    <w:name w:val="EQ"/>
    <w:basedOn w:val="a"/>
    <w:next w:val="a"/>
    <w:qFormat/>
    <w:pPr>
      <w:keepLines/>
      <w:tabs>
        <w:tab w:val="center" w:pos="4536"/>
        <w:tab w:val="right" w:pos="9072"/>
      </w:tabs>
      <w:overflowPunct w:val="0"/>
      <w:adjustRightInd w:val="0"/>
      <w:spacing w:beforeLines="30" w:before="30" w:beforeAutospacing="0" w:afterLines="30" w:line="264" w:lineRule="auto"/>
      <w:jc w:val="both"/>
      <w:textAlignment w:val="baseline"/>
    </w:pPr>
    <w:rPr>
      <w:szCs w:val="22"/>
    </w:rPr>
  </w:style>
  <w:style w:type="paragraph" w:customStyle="1" w:styleId="aff1">
    <w:name w:val="样式 ！正文"/>
    <w:basedOn w:val="a"/>
    <w:qFormat/>
    <w:pPr>
      <w:widowControl w:val="0"/>
      <w:adjustRightInd w:val="0"/>
      <w:spacing w:beforeLines="30" w:before="40" w:beforeAutospacing="0" w:afterLines="30" w:after="40" w:line="300" w:lineRule="auto"/>
      <w:ind w:firstLine="420"/>
      <w:jc w:val="both"/>
    </w:pPr>
    <w:rPr>
      <w:rFonts w:cs="宋体"/>
      <w:kern w:val="2"/>
      <w:sz w:val="21"/>
      <w:szCs w:val="20"/>
    </w:rPr>
  </w:style>
  <w:style w:type="paragraph" w:customStyle="1" w:styleId="ListParagraph5">
    <w:name w:val="List Paragraph5"/>
    <w:basedOn w:val="a"/>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CRCoverPage">
    <w:name w:val="CR Cover Page"/>
    <w:qFormat/>
    <w:pPr>
      <w:spacing w:after="120" w:line="259" w:lineRule="auto"/>
    </w:pPr>
    <w:rPr>
      <w:rFonts w:ascii="Arial"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jc w:val="both"/>
    </w:pPr>
    <w:rPr>
      <w:rFonts w:ascii="Arial" w:hAnsi="Arial"/>
      <w:sz w:val="18"/>
      <w:szCs w:val="22"/>
    </w:rPr>
  </w:style>
  <w:style w:type="paragraph" w:customStyle="1" w:styleId="41">
    <w:name w:val="列出段落4"/>
    <w:basedOn w:val="a"/>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LGTdoc">
    <w:name w:val="LGTdoc_본문"/>
    <w:basedOn w:val="a"/>
    <w:qFormat/>
    <w:pPr>
      <w:widowControl w:val="0"/>
      <w:autoSpaceDE w:val="0"/>
      <w:autoSpaceDN w:val="0"/>
      <w:adjustRightInd w:val="0"/>
      <w:spacing w:beforeLines="30" w:before="30" w:beforeAutospacing="0" w:afterLines="30" w:after="30" w:line="264" w:lineRule="auto"/>
      <w:jc w:val="both"/>
    </w:pPr>
    <w:rPr>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N">
    <w:name w:val="TAN"/>
    <w:basedOn w:val="a"/>
    <w:qFormat/>
    <w:pPr>
      <w:keepNext/>
      <w:keepLines/>
      <w:adjustRightInd w:val="0"/>
      <w:spacing w:beforeLines="30" w:before="30" w:beforeAutospacing="0" w:afterLines="30" w:after="30" w:line="264" w:lineRule="auto"/>
      <w:ind w:left="851" w:hanging="851"/>
      <w:jc w:val="both"/>
    </w:pPr>
    <w:rPr>
      <w:rFonts w:ascii="Arial" w:hAnsi="Arial"/>
      <w:sz w:val="18"/>
      <w:szCs w:val="20"/>
      <w:lang w:eastAsia="en-US"/>
    </w:rPr>
  </w:style>
  <w:style w:type="paragraph" w:styleId="aff2">
    <w:name w:val="List Paragraph"/>
    <w:basedOn w:val="a"/>
    <w:link w:val="22"/>
    <w:uiPriority w:val="34"/>
    <w:qFormat/>
    <w:pPr>
      <w:adjustRightInd w:val="0"/>
      <w:spacing w:beforeLines="30" w:before="30" w:beforeAutospacing="0" w:afterLines="30" w:after="30" w:line="264" w:lineRule="auto"/>
      <w:ind w:leftChars="400" w:left="840"/>
      <w:jc w:val="both"/>
    </w:pPr>
    <w:rPr>
      <w:rFonts w:ascii="Times" w:eastAsia="Batang" w:hAnsi="Times"/>
      <w:lang w:val="en-GB"/>
    </w:rPr>
  </w:style>
  <w:style w:type="paragraph" w:customStyle="1" w:styleId="23">
    <w:name w:val="修订2"/>
    <w:uiPriority w:val="99"/>
    <w:semiHidden/>
    <w:qFormat/>
    <w:pPr>
      <w:spacing w:after="160" w:line="259" w:lineRule="auto"/>
    </w:pPr>
    <w:rPr>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720"/>
      <w:contextualSpacing/>
      <w:jc w:val="both"/>
    </w:pPr>
    <w:rPr>
      <w:szCs w:val="22"/>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firstLineChars="200" w:firstLine="420"/>
      <w:jc w:val="both"/>
    </w:pPr>
    <w:rPr>
      <w:rFonts w:eastAsia="宋体"/>
      <w:szCs w:val="22"/>
    </w:rPr>
  </w:style>
  <w:style w:type="paragraph" w:customStyle="1" w:styleId="ListParagraph3">
    <w:name w:val="List Paragraph3"/>
    <w:basedOn w:val="a"/>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Doc-text2">
    <w:name w:val="Doc-text2"/>
    <w:basedOn w:val="a"/>
    <w:link w:val="Doc-text2Char"/>
    <w:qFormat/>
    <w:pPr>
      <w:tabs>
        <w:tab w:val="left" w:pos="1622"/>
      </w:tabs>
      <w:adjustRightInd w:val="0"/>
      <w:spacing w:beforeLines="30" w:before="30" w:beforeAutospacing="0" w:afterLines="30" w:after="30" w:line="264" w:lineRule="auto"/>
      <w:ind w:left="1622" w:hanging="363"/>
      <w:jc w:val="both"/>
    </w:pPr>
    <w:rPr>
      <w:rFonts w:ascii="Arial" w:eastAsia="MS Mincho" w:hAnsi="Arial"/>
    </w:rPr>
  </w:style>
  <w:style w:type="paragraph" w:customStyle="1" w:styleId="B2">
    <w:name w:val="B2"/>
    <w:basedOn w:val="21"/>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adjustRightInd w:val="0"/>
      <w:spacing w:beforeLines="30" w:before="30" w:beforeAutospacing="0" w:afterLines="30" w:after="30" w:line="264" w:lineRule="auto"/>
      <w:jc w:val="center"/>
    </w:pPr>
    <w:rPr>
      <w:rFonts w:ascii="Arial" w:hAnsi="Arial"/>
      <w:vanish/>
      <w:sz w:val="16"/>
      <w:szCs w:val="16"/>
    </w:rPr>
  </w:style>
  <w:style w:type="paragraph" w:customStyle="1" w:styleId="11">
    <w:name w:val="修订1"/>
    <w:uiPriority w:val="99"/>
    <w:semiHidden/>
    <w:qFormat/>
    <w:pPr>
      <w:spacing w:after="160" w:line="259" w:lineRule="auto"/>
    </w:pPr>
    <w:rPr>
      <w:rFonts w:ascii="Calibri"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Chars="400" w:left="840"/>
      <w:jc w:val="both"/>
    </w:pPr>
    <w:rPr>
      <w:szCs w:val="22"/>
    </w:rPr>
  </w:style>
  <w:style w:type="paragraph" w:customStyle="1" w:styleId="B3">
    <w:name w:val="B3"/>
    <w:basedOn w:val="32"/>
    <w:qFormat/>
    <w:pPr>
      <w:spacing w:after="180"/>
      <w:ind w:leftChars="0" w:left="1135" w:firstLineChars="0" w:hanging="284"/>
    </w:pPr>
    <w:rPr>
      <w:rFonts w:eastAsia="MS Mincho"/>
      <w:szCs w:val="20"/>
      <w:lang w:eastAsia="en-US"/>
    </w:rPr>
  </w:style>
  <w:style w:type="paragraph" w:customStyle="1" w:styleId="RAN1text">
    <w:name w:val="RAN1 text"/>
    <w:basedOn w:val="aa"/>
    <w:qFormat/>
    <w:rPr>
      <w:rFonts w:eastAsia="MS Mincho"/>
    </w:rPr>
  </w:style>
  <w:style w:type="paragraph" w:customStyle="1" w:styleId="33">
    <w:name w:val="列出段落3"/>
    <w:basedOn w:val="a"/>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Style1">
    <w:name w:val="_Style 1"/>
    <w:basedOn w:val="a"/>
    <w:uiPriority w:val="34"/>
    <w:qFormat/>
    <w:pPr>
      <w:adjustRightInd w:val="0"/>
      <w:spacing w:beforeLines="30" w:before="30" w:beforeAutospacing="0" w:afterLines="30" w:after="30" w:line="264" w:lineRule="auto"/>
      <w:ind w:leftChars="400" w:left="840"/>
      <w:jc w:val="both"/>
    </w:pPr>
    <w:rPr>
      <w:szCs w:val="22"/>
    </w:rPr>
  </w:style>
  <w:style w:type="paragraph" w:customStyle="1" w:styleId="24">
    <w:name w:val="列出段落2"/>
    <w:basedOn w:val="a"/>
    <w:uiPriority w:val="99"/>
    <w:qFormat/>
    <w:pPr>
      <w:adjustRightInd w:val="0"/>
      <w:spacing w:beforeLines="30" w:before="30" w:beforeAutospacing="0" w:afterLines="30" w:after="30" w:line="264" w:lineRule="auto"/>
      <w:ind w:left="720"/>
      <w:contextualSpacing/>
      <w:jc w:val="both"/>
    </w:pPr>
    <w:rPr>
      <w:szCs w:val="22"/>
    </w:rPr>
  </w:style>
  <w:style w:type="paragraph" w:customStyle="1" w:styleId="B1">
    <w:name w:val="B1"/>
    <w:basedOn w:val="af8"/>
    <w:qFormat/>
  </w:style>
  <w:style w:type="paragraph" w:customStyle="1" w:styleId="ListParagraph1">
    <w:name w:val="List Paragraph1"/>
    <w:basedOn w:val="a"/>
    <w:uiPriority w:val="99"/>
    <w:unhideWhenUsed/>
    <w:qFormat/>
    <w:pPr>
      <w:adjustRightInd w:val="0"/>
      <w:spacing w:beforeLines="30" w:before="30" w:beforeAutospacing="0" w:afterLines="30" w:after="30" w:line="264" w:lineRule="auto"/>
      <w:ind w:firstLineChars="200" w:firstLine="420"/>
      <w:jc w:val="both"/>
    </w:pPr>
    <w:rPr>
      <w:szCs w:val="22"/>
    </w:rPr>
  </w:style>
  <w:style w:type="paragraph" w:customStyle="1" w:styleId="12">
    <w:name w:val="列出段落1"/>
    <w:basedOn w:val="a"/>
    <w:link w:val="Char"/>
    <w:uiPriority w:val="34"/>
    <w:qFormat/>
    <w:pPr>
      <w:widowControl w:val="0"/>
      <w:adjustRightInd w:val="0"/>
      <w:spacing w:beforeLines="30" w:before="30" w:beforeAutospacing="0" w:afterLines="30" w:after="30" w:line="264" w:lineRule="auto"/>
      <w:ind w:firstLineChars="200" w:firstLine="420"/>
      <w:jc w:val="both"/>
    </w:pPr>
    <w:rPr>
      <w:kern w:val="2"/>
      <w:sz w:val="21"/>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a"/>
    <w:uiPriority w:val="34"/>
    <w:qFormat/>
    <w:pPr>
      <w:adjustRightInd w:val="0"/>
      <w:spacing w:beforeLines="30" w:before="30" w:beforeAutospacing="0" w:afterLines="30" w:after="30" w:line="264" w:lineRule="auto"/>
      <w:ind w:firstLine="420"/>
      <w:jc w:val="both"/>
    </w:pPr>
    <w:rPr>
      <w:rFonts w:ascii="MS PGothic" w:eastAsia="MS PGothic" w:hAnsi="MS PGothic" w:cs="宋体"/>
    </w:rPr>
  </w:style>
  <w:style w:type="paragraph" w:customStyle="1" w:styleId="aff3">
    <w:name w:val="表格文字居左"/>
    <w:basedOn w:val="a"/>
    <w:next w:val="a"/>
    <w:qFormat/>
    <w:pPr>
      <w:widowControl w:val="0"/>
      <w:adjustRightInd w:val="0"/>
      <w:spacing w:beforeLines="30" w:before="30" w:beforeAutospacing="0" w:afterLines="30" w:after="30" w:line="264" w:lineRule="auto"/>
      <w:jc w:val="both"/>
    </w:pPr>
    <w:rPr>
      <w:rFonts w:ascii="Arial" w:hAnsi="Arial" w:cs="宋体"/>
      <w:kern w:val="2"/>
      <w:sz w:val="21"/>
      <w:szCs w:val="20"/>
    </w:rPr>
  </w:style>
  <w:style w:type="paragraph" w:customStyle="1" w:styleId="Style3">
    <w:name w:val="_Style 3"/>
    <w:basedOn w:val="a"/>
    <w:uiPriority w:val="34"/>
    <w:qFormat/>
    <w:pPr>
      <w:adjustRightInd w:val="0"/>
      <w:spacing w:beforeLines="30" w:before="30" w:beforeAutospacing="0" w:afterLines="30" w:after="30" w:line="264" w:lineRule="auto"/>
      <w:ind w:leftChars="400" w:left="840"/>
      <w:jc w:val="both"/>
    </w:pPr>
    <w:rPr>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22"/>
    </w:rPr>
  </w:style>
  <w:style w:type="paragraph" w:customStyle="1" w:styleId="ListParagraph6">
    <w:name w:val="List Paragraph6"/>
    <w:basedOn w:val="a"/>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tablecell">
    <w:name w:val="tablecell"/>
    <w:basedOn w:val="a"/>
    <w:qFormat/>
    <w:pPr>
      <w:autoSpaceDE w:val="0"/>
      <w:autoSpaceDN w:val="0"/>
      <w:adjustRightInd w:val="0"/>
      <w:spacing w:beforeLines="30" w:before="40" w:beforeAutospacing="0" w:afterLines="30" w:after="40" w:line="264" w:lineRule="auto"/>
      <w:jc w:val="both"/>
    </w:pPr>
    <w:rPr>
      <w:szCs w:val="22"/>
      <w:lang w:eastAsia="en-US"/>
    </w:rPr>
  </w:style>
  <w:style w:type="paragraph" w:customStyle="1" w:styleId="tableheader">
    <w:name w:val="tableheader"/>
    <w:basedOn w:val="a"/>
    <w:qFormat/>
    <w:pPr>
      <w:adjustRightInd w:val="0"/>
      <w:spacing w:beforeLines="30" w:before="40" w:beforeAutospacing="0" w:afterLines="30" w:after="40" w:line="264" w:lineRule="auto"/>
      <w:jc w:val="center"/>
    </w:pPr>
    <w:rPr>
      <w:rFonts w:cs="Calibri"/>
      <w:b/>
      <w:bCs/>
      <w:color w:val="000000"/>
      <w:szCs w:val="22"/>
      <w:lang w:eastAsia="en-US"/>
    </w:rPr>
  </w:style>
  <w:style w:type="paragraph" w:customStyle="1" w:styleId="Test">
    <w:name w:val="Test"/>
    <w:basedOn w:val="a"/>
    <w:qFormat/>
    <w:pPr>
      <w:adjustRightInd w:val="0"/>
      <w:spacing w:beforeLines="30" w:before="60" w:beforeAutospacing="0" w:afterLines="30" w:after="60" w:line="280" w:lineRule="atLeast"/>
      <w:ind w:left="2160"/>
      <w:jc w:val="both"/>
    </w:pPr>
    <w:rPr>
      <w:rFonts w:eastAsia="MS Mincho"/>
      <w:szCs w:val="20"/>
      <w:lang w:eastAsia="en-US"/>
    </w:rPr>
  </w:style>
  <w:style w:type="paragraph" w:customStyle="1" w:styleId="maintext">
    <w:name w:val="main text"/>
    <w:basedOn w:val="a"/>
    <w:link w:val="maintextChar"/>
    <w:qFormat/>
    <w:pPr>
      <w:adjustRightInd w:val="0"/>
      <w:spacing w:beforeLines="30" w:before="60" w:beforeAutospacing="0" w:afterLines="30" w:after="60" w:line="264" w:lineRule="auto"/>
      <w:ind w:firstLineChars="200" w:firstLine="200"/>
      <w:jc w:val="both"/>
    </w:pPr>
    <w:rPr>
      <w:rFonts w:eastAsia="Malgun Gothic"/>
      <w:szCs w:val="20"/>
      <w:lang w:eastAsia="ko-KR"/>
    </w:rPr>
  </w:style>
  <w:style w:type="paragraph" w:customStyle="1" w:styleId="Revision1">
    <w:name w:val="Revision1"/>
    <w:uiPriority w:val="99"/>
    <w:semiHidden/>
    <w:qFormat/>
    <w:pPr>
      <w:spacing w:after="160" w:line="259" w:lineRule="auto"/>
    </w:pPr>
    <w:rPr>
      <w:szCs w:val="22"/>
    </w:rPr>
  </w:style>
  <w:style w:type="paragraph" w:customStyle="1" w:styleId="RAN1bullet1">
    <w:name w:val="RAN1 bullet1"/>
    <w:basedOn w:val="a"/>
    <w:qFormat/>
    <w:pPr>
      <w:numPr>
        <w:numId w:val="4"/>
      </w:numPr>
      <w:adjustRightInd w:val="0"/>
      <w:spacing w:beforeLines="30" w:before="30" w:beforeAutospacing="0" w:afterLines="30" w:after="30" w:line="264" w:lineRule="auto"/>
      <w:jc w:val="both"/>
    </w:pPr>
    <w:rPr>
      <w:szCs w:val="22"/>
    </w:rPr>
  </w:style>
  <w:style w:type="paragraph" w:customStyle="1" w:styleId="ListParagraph2">
    <w:name w:val="List Paragraph2"/>
    <w:basedOn w:val="a"/>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ZA">
    <w:name w:val="ZA"/>
    <w:qFormat/>
    <w:pPr>
      <w:widowControl w:val="0"/>
      <w:pBdr>
        <w:bottom w:val="single" w:sz="12" w:space="1" w:color="auto"/>
      </w:pBdr>
      <w:spacing w:after="160" w:line="259" w:lineRule="auto"/>
      <w:jc w:val="right"/>
    </w:pPr>
    <w:rPr>
      <w:rFonts w:ascii="Arial" w:hAnsi="Arial"/>
      <w:sz w:val="40"/>
      <w:lang w:eastAsia="en-US"/>
    </w:rPr>
  </w:style>
  <w:style w:type="paragraph" w:customStyle="1" w:styleId="z-10">
    <w:name w:val="z-窗体顶端1"/>
    <w:basedOn w:val="a"/>
    <w:next w:val="a"/>
    <w:link w:val="z-Char0"/>
    <w:uiPriority w:val="99"/>
    <w:unhideWhenUsed/>
    <w:qFormat/>
    <w:pPr>
      <w:pBdr>
        <w:bottom w:val="single" w:sz="6" w:space="1" w:color="auto"/>
      </w:pBdr>
      <w:adjustRightInd w:val="0"/>
      <w:spacing w:beforeLines="30" w:before="30" w:beforeAutospacing="0" w:afterLines="30" w:after="30" w:line="264" w:lineRule="auto"/>
      <w:jc w:val="center"/>
    </w:pPr>
    <w:rPr>
      <w:rFonts w:ascii="Arial" w:hAnsi="Arial"/>
      <w:vanish/>
      <w:sz w:val="16"/>
      <w:szCs w:val="16"/>
    </w:rPr>
  </w:style>
  <w:style w:type="character" w:customStyle="1" w:styleId="70">
    <w:name w:val="标题 7 字符"/>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ab">
    <w:name w:val="正文文本 字符"/>
    <w:link w:val="aa"/>
    <w:qFormat/>
    <w:rPr>
      <w:rFonts w:ascii="Times New Roman" w:eastAsia="宋体" w:hAnsi="Times New Roman"/>
      <w:color w:val="000000"/>
      <w:kern w:val="2"/>
      <w:sz w:val="21"/>
    </w:rPr>
  </w:style>
  <w:style w:type="character" w:customStyle="1" w:styleId="af1">
    <w:name w:val="日期 字符"/>
    <w:link w:val="af0"/>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rPr>
      <w:rFonts w:ascii="Times New Roman" w:hAnsi="Times New Roman"/>
      <w:kern w:val="2"/>
      <w:sz w:val="21"/>
      <w:szCs w:val="24"/>
    </w:rPr>
  </w:style>
  <w:style w:type="character" w:customStyle="1" w:styleId="af7">
    <w:name w:val="页眉 字符"/>
    <w:link w:val="af6"/>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0">
    <w:name w:val="标题 6 字符"/>
    <w:link w:val="6"/>
    <w:uiPriority w:val="9"/>
    <w:semiHidden/>
    <w:qFormat/>
    <w:rPr>
      <w:rFonts w:ascii="Cambria" w:eastAsia="宋体" w:hAnsi="Cambria" w:cs="黑体"/>
      <w:b/>
      <w:bCs/>
      <w:sz w:val="24"/>
      <w:szCs w:val="24"/>
      <w:lang w:val="en-US" w:eastAsia="zh-CN"/>
    </w:rPr>
  </w:style>
  <w:style w:type="character" w:customStyle="1" w:styleId="40">
    <w:name w:val="标题 4 字符"/>
    <w:link w:val="4"/>
    <w:qFormat/>
    <w:rPr>
      <w:rFonts w:ascii="Times New Roman" w:hAnsi="Times New Roman"/>
      <w:b/>
      <w:sz w:val="28"/>
      <w:szCs w:val="28"/>
      <w:lang w:eastAsia="zh-CN"/>
    </w:rPr>
  </w:style>
  <w:style w:type="character" w:customStyle="1" w:styleId="90">
    <w:name w:val="标题 9 字符"/>
    <w:link w:val="9"/>
    <w:uiPriority w:val="9"/>
    <w:semiHidden/>
    <w:qFormat/>
    <w:rPr>
      <w:rFonts w:ascii="Cambria" w:eastAsia="宋体" w:hAnsi="Cambria" w:cs="黑体"/>
      <w:sz w:val="21"/>
      <w:szCs w:val="21"/>
      <w:lang w:val="en-US" w:eastAsia="zh-CN"/>
    </w:rPr>
  </w:style>
  <w:style w:type="character" w:customStyle="1" w:styleId="af">
    <w:name w:val="纯文本 字符"/>
    <w:link w:val="ae"/>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0">
    <w:name w:val="标题 5 字符"/>
    <w:link w:val="5"/>
    <w:qFormat/>
    <w:rPr>
      <w:rFonts w:ascii="Times New Roman" w:hAnsi="Times New Roman"/>
      <w:b/>
      <w:sz w:val="24"/>
      <w:szCs w:val="24"/>
      <w:lang w:eastAsia="zh-CN"/>
    </w:rPr>
  </w:style>
  <w:style w:type="character" w:customStyle="1" w:styleId="a5">
    <w:name w:val="题注 字符"/>
    <w:link w:val="a4"/>
    <w:qFormat/>
    <w:rPr>
      <w:rFonts w:ascii="Times New Roman" w:hAnsi="Times New Roman"/>
      <w:b/>
      <w:bCs/>
    </w:rPr>
  </w:style>
  <w:style w:type="character" w:customStyle="1" w:styleId="ad">
    <w:name w:val="正文文本缩进 字符"/>
    <w:link w:val="ac"/>
    <w:uiPriority w:val="99"/>
    <w:semiHidden/>
    <w:qFormat/>
    <w:rPr>
      <w:sz w:val="22"/>
      <w:szCs w:val="22"/>
    </w:rPr>
  </w:style>
  <w:style w:type="character" w:customStyle="1" w:styleId="80">
    <w:name w:val="标题 8 字符"/>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af5">
    <w:name w:val="页脚 字符"/>
    <w:link w:val="af4"/>
    <w:uiPriority w:val="99"/>
    <w:qFormat/>
    <w:rPr>
      <w:sz w:val="18"/>
      <w:szCs w:val="18"/>
    </w:rPr>
  </w:style>
  <w:style w:type="character" w:customStyle="1" w:styleId="a9">
    <w:name w:val="批注文字 字符"/>
    <w:basedOn w:val="a0"/>
    <w:link w:val="a8"/>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a7">
    <w:name w:val="文档结构图 字符"/>
    <w:link w:val="a6"/>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adjustRightInd w:val="0"/>
      <w:spacing w:beforeLines="30" w:before="30" w:beforeAutospacing="0" w:afterLines="30" w:after="100" w:afterAutospacing="1" w:line="300" w:lineRule="auto"/>
      <w:ind w:firstLine="360"/>
      <w:contextualSpacing/>
      <w:jc w:val="both"/>
    </w:pPr>
    <w:rPr>
      <w:rFonts w:eastAsia="宋体"/>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22">
    <w:name w:val="列表段落 字符2"/>
    <w:link w:val="aff2"/>
    <w:uiPriority w:val="34"/>
    <w:qFormat/>
    <w:locked/>
    <w:rPr>
      <w:rFonts w:ascii="Times" w:eastAsia="Batang" w:hAnsi="Times" w:cs="Times New Roman"/>
      <w:szCs w:val="24"/>
      <w:lang w:val="en-GB"/>
    </w:rPr>
  </w:style>
  <w:style w:type="paragraph" w:customStyle="1" w:styleId="References">
    <w:name w:val="References"/>
    <w:basedOn w:val="a"/>
    <w:qFormat/>
    <w:pPr>
      <w:numPr>
        <w:numId w:val="5"/>
      </w:numPr>
      <w:adjustRightInd w:val="0"/>
      <w:spacing w:beforeLines="30" w:before="30" w:beforeAutospacing="0" w:afterLines="30" w:after="60" w:line="264" w:lineRule="auto"/>
      <w:jc w:val="both"/>
    </w:pPr>
    <w:rPr>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sz w:val="22"/>
      <w:szCs w:val="22"/>
    </w:rPr>
  </w:style>
  <w:style w:type="paragraph" w:customStyle="1" w:styleId="paragraph">
    <w:name w:val="paragraph"/>
    <w:basedOn w:val="a"/>
    <w:uiPriority w:val="99"/>
    <w:qFormat/>
    <w:pPr>
      <w:adjustRightInd w:val="0"/>
      <w:spacing w:beforeLines="30" w:afterLines="30" w:after="100" w:afterAutospacing="1" w:line="264" w:lineRule="auto"/>
      <w:jc w:val="both"/>
    </w:pPr>
    <w:rPr>
      <w:szCs w:val="22"/>
      <w:lang w:val="sv-SE"/>
    </w:rPr>
  </w:style>
  <w:style w:type="paragraph" w:customStyle="1" w:styleId="tal0">
    <w:name w:val="tal"/>
    <w:basedOn w:val="a"/>
    <w:qFormat/>
    <w:pPr>
      <w:keepNext/>
      <w:adjustRightInd w:val="0"/>
      <w:spacing w:beforeLines="30" w:before="30" w:beforeAutospacing="0" w:afterLines="30" w:after="0"/>
      <w:jc w:val="both"/>
    </w:pPr>
    <w:rPr>
      <w:rFonts w:ascii="Arial" w:eastAsia="Gulim" w:hAnsi="Arial" w:cs="Arial"/>
      <w:sz w:val="18"/>
      <w:szCs w:val="18"/>
      <w:lang w:eastAsia="ko-KR"/>
    </w:rPr>
  </w:style>
  <w:style w:type="paragraph" w:styleId="aff4">
    <w:name w:val="No Spacing"/>
    <w:uiPriority w:val="1"/>
    <w:qFormat/>
    <w:pPr>
      <w:spacing w:after="160" w:line="259" w:lineRule="auto"/>
    </w:pPr>
    <w:rPr>
      <w:rFonts w:ascii="Calibri" w:hAnsi="Calibri"/>
      <w:sz w:val="22"/>
      <w:szCs w:val="22"/>
    </w:rPr>
  </w:style>
  <w:style w:type="paragraph" w:customStyle="1" w:styleId="Normal1">
    <w:name w:val="Normal1"/>
    <w:qFormat/>
    <w:pPr>
      <w:spacing w:after="160" w:line="259" w:lineRule="auto"/>
      <w:jc w:val="both"/>
    </w:pPr>
    <w:rPr>
      <w:rFonts w:ascii="Calibri" w:hAnsi="Calibri" w:cs="Calibri"/>
      <w:kern w:val="2"/>
      <w:sz w:val="21"/>
      <w:szCs w:val="21"/>
    </w:rPr>
  </w:style>
  <w:style w:type="character" w:customStyle="1" w:styleId="13">
    <w:name w:val="列表段落 字符1"/>
    <w:basedOn w:val="a0"/>
    <w:link w:val="14"/>
    <w:qFormat/>
    <w:rPr>
      <w:rFonts w:ascii="Times" w:eastAsia="Batang" w:hAnsi="Times" w:cs="Times" w:hint="default"/>
      <w:szCs w:val="24"/>
      <w:lang w:val="en-US"/>
    </w:rPr>
  </w:style>
  <w:style w:type="paragraph" w:customStyle="1" w:styleId="14">
    <w:name w:val="列表段落1"/>
    <w:basedOn w:val="a"/>
    <w:link w:val="13"/>
    <w:qFormat/>
    <w:pPr>
      <w:adjustRightInd w:val="0"/>
      <w:spacing w:beforeLines="30" w:beforeAutospacing="0" w:afterLines="30" w:after="0" w:line="264" w:lineRule="auto"/>
      <w:ind w:leftChars="400" w:left="840"/>
    </w:pPr>
    <w:rPr>
      <w:rFonts w:ascii="Times" w:eastAsia="Batang" w:hAnsi="Times"/>
    </w:rPr>
  </w:style>
  <w:style w:type="paragraph" w:customStyle="1" w:styleId="110">
    <w:name w:val="列表段落11"/>
    <w:basedOn w:val="a"/>
    <w:qFormat/>
    <w:pPr>
      <w:adjustRightInd w:val="0"/>
      <w:spacing w:beforeLines="30" w:beforeAutospacing="0" w:afterLines="30" w:after="0" w:line="264" w:lineRule="auto"/>
      <w:ind w:leftChars="400" w:left="840"/>
    </w:pPr>
    <w:rPr>
      <w:rFonts w:ascii="Times" w:eastAsia="Batang" w:hAnsi="Times"/>
    </w:rPr>
  </w:style>
  <w:style w:type="character" w:customStyle="1" w:styleId="aff5">
    <w:name w:val="列表段落 字符"/>
    <w:basedOn w:val="a0"/>
    <w:qFormat/>
    <w:rPr>
      <w:lang w:val="en-US" w:eastAsia="ko"/>
    </w:rPr>
  </w:style>
  <w:style w:type="paragraph" w:customStyle="1" w:styleId="ListParagraph8">
    <w:name w:val="List Paragraph8"/>
    <w:basedOn w:val="a"/>
    <w:qFormat/>
    <w:pPr>
      <w:widowControl w:val="0"/>
      <w:spacing w:after="100" w:afterAutospacing="1"/>
      <w:ind w:left="800"/>
      <w:jc w:val="both"/>
    </w:pPr>
    <w:rPr>
      <w:rFonts w:eastAsia="Malgun Gothic"/>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689839">
      <w:bodyDiv w:val="1"/>
      <w:marLeft w:val="0"/>
      <w:marRight w:val="0"/>
      <w:marTop w:val="0"/>
      <w:marBottom w:val="0"/>
      <w:divBdr>
        <w:top w:val="none" w:sz="0" w:space="0" w:color="auto"/>
        <w:left w:val="none" w:sz="0" w:space="0" w:color="auto"/>
        <w:bottom w:val="none" w:sz="0" w:space="0" w:color="auto"/>
        <w:right w:val="none" w:sz="0" w:space="0" w:color="auto"/>
      </w:divBdr>
    </w:div>
    <w:div w:id="1424182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40E5CD-A901-4A6C-81F8-C7A8E666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4155</Words>
  <Characters>23684</Characters>
  <Application>Microsoft Office Word</Application>
  <DocSecurity>0</DocSecurity>
  <Lines>197</Lines>
  <Paragraphs>55</Paragraphs>
  <ScaleCrop>false</ScaleCrop>
  <Company>ZTE</Company>
  <LinksUpToDate>false</LinksUpToDate>
  <CharactersWithSpaces>27784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Yang</cp:lastModifiedBy>
  <cp:revision>21</cp:revision>
  <dcterms:created xsi:type="dcterms:W3CDTF">2024-08-09T06:55:00Z</dcterms:created>
  <dcterms:modified xsi:type="dcterms:W3CDTF">2024-08-09T07:18:00Z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3884BF6F5D904FF3B152D66659847C8B</vt:lpwstr>
  </property>
</Properties>
</file>